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54CE4"/>
          <w:sz w:val="16"/>
        </w:rPr>
        <w:t>AGENCEAPPLICATIONMOBILE.FR</w:t>
      </w:r>
    </w:p>
    <w:p>
      <w:pPr>
        <w:pStyle w:val="Heading1"/>
      </w:pPr>
      <w:r>
        <w:t>Compte rendu d’atelier de priorisation</w:t>
      </w:r>
    </w:p>
    <w:p>
      <w:r>
        <w:rPr>
          <w:color w:val="6C7A94"/>
          <w:sz w:val="23"/>
        </w:rPr>
        <w:t>Ce qui a été décidé, par qui, et pourquoi</w:t>
      </w:r>
    </w:p>
    <w:p>
      <w:r>
        <w:t>Un atelier MoSCoW produit deux choses : un classement et une série de décisions. Le classement vit dans le tableur. Les décisions vivent ici, avec leur justification, parce qu’une décision sans motif écrit se rediscute au premier changement d’interlocuteur.</w:t>
      </w:r>
    </w:p>
    <w:tbl>
      <w:tblPr>
        <w:tblW w:type="auto" w:w="0"/>
        <w:jc w:val="center"/>
        <w:tblLook w:firstColumn="1" w:firstRow="1" w:lastColumn="0" w:lastRow="0" w:noHBand="0" w:noVBand="1" w:val="04A0"/>
      </w:tblPr>
      <w:tblGrid>
        <w:gridCol w:w="9746"/>
      </w:tblGrid>
      <w:tr>
        <w:tc>
          <w:tcPr>
            <w:tcW w:type="dxa" w:w="9746"/>
            <w:shd w:val="clear" w:color="auto" w:fill="F4F6FB"/>
          </w:tcPr>
          <w:p>
            <w:r>
              <w:rPr>
                <w:b/>
                <w:color w:val="154CE4"/>
                <w:sz w:val="19"/>
              </w:rPr>
              <w:t>Mode d’emploi</w:t>
            </w:r>
          </w:p>
          <w:p>
            <w:r>
              <w:rPr>
                <w:sz w:val="19"/>
              </w:rPr>
              <w:t>À remplir pendant les dix dernières minutes de l’atelier, pas le lendemain. À diffuser le jour même aux participants et aux absents. Les sections 1 à 3 se remplissent en séance, la section 6 se remplit à la revue suivante.</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Le cas d’école</w:t>
            </w:r>
          </w:p>
          <w:p>
            <w:r>
              <w:rPr>
                <w:sz w:val="19"/>
              </w:rP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c>
      </w:tr>
    </w:tbl>
    <w:p/>
    <w:p/>
    <w:p>
      <w:pPr>
        <w:pStyle w:val="Heading2"/>
      </w:pPr>
      <w:r>
        <w:t>1. Cadre de la séance</w:t>
      </w:r>
    </w:p>
    <w:p>
      <w:r>
        <w:rPr>
          <w:b/>
          <w:sz w:val="19"/>
        </w:rPr>
        <w:t xml:space="preserve">Ce qu’on attend ici : </w:t>
      </w:r>
      <w:r>
        <w:rPr>
          <w:color w:val="6C7A94"/>
          <w:sz w:val="19"/>
        </w:rPr>
        <w:t>de quoi on a parlé, avec quelle contrainte, et qui tranchait.</w:t>
      </w:r>
    </w:p>
    <w:p>
      <w:r>
        <w:t>Les points à couvrir :</w:t>
      </w:r>
    </w:p>
    <w:p>
      <w:pPr>
        <w:pStyle w:val="ListBullet"/>
      </w:pPr>
      <w:r>
        <w:t>La date, la durée, les participants et leur rôle.</w:t>
      </w:r>
    </w:p>
    <w:p>
      <w:pPr>
        <w:pStyle w:val="ListBullet"/>
      </w:pPr>
      <w:r>
        <w:t>L’objectif du lot priorisé, en une phrase.</w:t>
      </w:r>
    </w:p>
    <w:p>
      <w:pPr>
        <w:pStyle w:val="ListBullet"/>
      </w:pPr>
      <w:r>
        <w:t>La charge disponible et le plafond retenu pour le niveau obligatoire.</w:t>
      </w:r>
    </w:p>
    <w:p>
      <w:pPr>
        <w:pStyle w:val="ListBullet"/>
      </w:pPr>
      <w:r>
        <w:t>Le décideur désigné, une seule personne.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Date et durée</w:t>
            </w:r>
          </w:p>
        </w:tc>
        <w:tc>
          <w:tcPr>
            <w:tcW w:type="dxa" w:w="4873"/>
          </w:tcPr>
          <w:p>
            <w:r>
              <w:rPr>
                <w:color w:val="6C7A94"/>
                <w:sz w:val="19"/>
              </w:rPr>
              <w:t>[.]</w:t>
            </w:r>
          </w:p>
        </w:tc>
      </w:tr>
      <w:tr>
        <w:tc>
          <w:tcPr>
            <w:tcW w:type="dxa" w:w="4873"/>
          </w:tcPr>
          <w:p>
            <w:r>
              <w:rPr>
                <w:sz w:val="19"/>
              </w:rPr>
              <w:t>Participants</w:t>
            </w:r>
          </w:p>
        </w:tc>
        <w:tc>
          <w:tcPr>
            <w:tcW w:type="dxa" w:w="4873"/>
          </w:tcPr>
          <w:p>
            <w:r>
              <w:rPr>
                <w:color w:val="6C7A94"/>
                <w:sz w:val="19"/>
              </w:rPr>
              <w:t>[.]</w:t>
            </w:r>
          </w:p>
        </w:tc>
      </w:tr>
      <w:tr>
        <w:tc>
          <w:tcPr>
            <w:tcW w:type="dxa" w:w="4873"/>
          </w:tcPr>
          <w:p>
            <w:r>
              <w:rPr>
                <w:sz w:val="19"/>
              </w:rPr>
              <w:t>Objectif du lot</w:t>
            </w:r>
          </w:p>
        </w:tc>
        <w:tc>
          <w:tcPr>
            <w:tcW w:type="dxa" w:w="4873"/>
          </w:tcPr>
          <w:p>
            <w:r>
              <w:rPr>
                <w:color w:val="6C7A94"/>
                <w:sz w:val="19"/>
              </w:rPr>
              <w:t>[.]</w:t>
            </w:r>
          </w:p>
        </w:tc>
      </w:tr>
      <w:tr>
        <w:tc>
          <w:tcPr>
            <w:tcW w:type="dxa" w:w="4873"/>
          </w:tcPr>
          <w:p>
            <w:r>
              <w:rPr>
                <w:sz w:val="19"/>
              </w:rPr>
              <w:t>Charge disponible</w:t>
            </w:r>
          </w:p>
        </w:tc>
        <w:tc>
          <w:tcPr>
            <w:tcW w:type="dxa" w:w="4873"/>
          </w:tcPr>
          <w:p>
            <w:r>
              <w:rPr>
                <w:color w:val="6C7A94"/>
                <w:sz w:val="19"/>
              </w:rPr>
              <w:t>[.] · plafond obligatoire [.] %</w:t>
            </w:r>
          </w:p>
        </w:tc>
      </w:tr>
      <w:tr>
        <w:tc>
          <w:tcPr>
            <w:tcW w:type="dxa" w:w="4873"/>
          </w:tcPr>
          <w:p>
            <w:r>
              <w:rPr>
                <w:sz w:val="19"/>
              </w:rPr>
              <w:t>Décideur</w:t>
            </w:r>
          </w:p>
        </w:tc>
        <w:tc>
          <w:tcPr>
            <w:tcW w:type="dxa" w:w="4873"/>
          </w:tcPr>
          <w:p>
            <w:r>
              <w:rPr>
                <w:color w:val="6C7A94"/>
                <w:sz w:val="19"/>
              </w:rPr>
              <w:t>[nom]</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12 mars, une heure. Cinq participants : responsable du réseau (décideur), chef de projet, deux référents boutique, comptable. Objectif du lot : mettre en service la commande à l’avance et la fidélité avant la rentrée de septembre. Charge listée : 100 unités. Plafond obligatoire : 60 unités.</w:t>
            </w:r>
          </w:p>
        </w:tc>
      </w:tr>
    </w:tbl>
    <w:p/>
    <w:p>
      <w:pPr>
        <w:pStyle w:val="Heading2"/>
      </w:pPr>
      <w:r>
        <w:t>2. Résultat du premier passage</w:t>
      </w:r>
    </w:p>
    <w:p>
      <w:r>
        <w:rPr>
          <w:b/>
          <w:sz w:val="19"/>
        </w:rPr>
        <w:t xml:space="preserve">Ce qu’on attend ici : </w:t>
      </w:r>
      <w:r>
        <w:rPr>
          <w:color w:val="6C7A94"/>
          <w:sz w:val="19"/>
        </w:rPr>
        <w:t>le classement silencieux, avant tout débat. C’est l’écart entre participants qui fait le programme de la suite.</w:t>
      </w:r>
    </w:p>
    <w:p>
      <w:r>
        <w:t>Les points à couvrir :</w:t>
      </w:r>
    </w:p>
    <w:p>
      <w:pPr>
        <w:pStyle w:val="ListBullet"/>
      </w:pPr>
      <w:r>
        <w:t>Le nombre de lignes par niveau, et la charge correspondante.</w:t>
      </w:r>
    </w:p>
    <w:p>
      <w:pPr>
        <w:pStyle w:val="ListBullet"/>
      </w:pPr>
      <w:r>
        <w:t>L’écart au plafond à ce stade.</w:t>
      </w:r>
    </w:p>
    <w:p>
      <w:pPr>
        <w:pStyle w:val="ListBullet"/>
      </w:pPr>
      <w:r>
        <w:t>Les lignes sur lesquelles les participants divergeaient.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Obligatoire</w:t>
            </w:r>
          </w:p>
        </w:tc>
        <w:tc>
          <w:tcPr>
            <w:tcW w:type="dxa" w:w="4873"/>
          </w:tcPr>
          <w:p>
            <w:r>
              <w:rPr>
                <w:color w:val="6C7A94"/>
                <w:sz w:val="19"/>
              </w:rPr>
              <w:t>[n] lignes · [charge] unités</w:t>
            </w:r>
          </w:p>
        </w:tc>
      </w:tr>
      <w:tr>
        <w:tc>
          <w:tcPr>
            <w:tcW w:type="dxa" w:w="4873"/>
          </w:tcPr>
          <w:p>
            <w:r>
              <w:rPr>
                <w:sz w:val="19"/>
              </w:rPr>
              <w:t>Souhaitable</w:t>
            </w:r>
          </w:p>
        </w:tc>
        <w:tc>
          <w:tcPr>
            <w:tcW w:type="dxa" w:w="4873"/>
          </w:tcPr>
          <w:p>
            <w:r>
              <w:rPr>
                <w:color w:val="6C7A94"/>
                <w:sz w:val="19"/>
              </w:rPr>
              <w:t>[n] lignes · [charge] unités</w:t>
            </w:r>
          </w:p>
        </w:tc>
      </w:tr>
      <w:tr>
        <w:tc>
          <w:tcPr>
            <w:tcW w:type="dxa" w:w="4873"/>
          </w:tcPr>
          <w:p>
            <w:r>
              <w:rPr>
                <w:sz w:val="19"/>
              </w:rPr>
              <w:t>Possible</w:t>
            </w:r>
          </w:p>
        </w:tc>
        <w:tc>
          <w:tcPr>
            <w:tcW w:type="dxa" w:w="4873"/>
          </w:tcPr>
          <w:p>
            <w:r>
              <w:rPr>
                <w:color w:val="6C7A94"/>
                <w:sz w:val="19"/>
              </w:rPr>
              <w:t>[n] lignes · [charge] unités</w:t>
            </w:r>
          </w:p>
        </w:tc>
      </w:tr>
      <w:tr>
        <w:tc>
          <w:tcPr>
            <w:tcW w:type="dxa" w:w="4873"/>
          </w:tcPr>
          <w:p>
            <w:r>
              <w:rPr>
                <w:sz w:val="19"/>
              </w:rPr>
              <w:t>Hors de ce lot</w:t>
            </w:r>
          </w:p>
        </w:tc>
        <w:tc>
          <w:tcPr>
            <w:tcW w:type="dxa" w:w="4873"/>
          </w:tcPr>
          <w:p>
            <w:r>
              <w:rPr>
                <w:color w:val="6C7A94"/>
                <w:sz w:val="19"/>
              </w:rPr>
              <w:t>[n] lignes</w:t>
            </w:r>
          </w:p>
        </w:tc>
      </w:tr>
      <w:tr>
        <w:tc>
          <w:tcPr>
            <w:tcW w:type="dxa" w:w="4873"/>
          </w:tcPr>
          <w:p>
            <w:r>
              <w:rPr>
                <w:sz w:val="19"/>
              </w:rPr>
              <w:t>Écart au plafond</w:t>
            </w:r>
          </w:p>
        </w:tc>
        <w:tc>
          <w:tcPr>
            <w:tcW w:type="dxa" w:w="4873"/>
          </w:tcPr>
          <w:p>
            <w:r>
              <w:rPr>
                <w:color w:val="6C7A94"/>
                <w:sz w:val="19"/>
              </w:rPr>
              <w:t>[.]</w:t>
            </w:r>
          </w:p>
        </w:tc>
      </w:tr>
      <w:tr>
        <w:tc>
          <w:tcPr>
            <w:tcW w:type="dxa" w:w="4873"/>
          </w:tcPr>
          <w:p>
            <w:r>
              <w:rPr>
                <w:sz w:val="19"/>
              </w:rPr>
              <w:t>Lignes en désaccord</w:t>
            </w:r>
          </w:p>
        </w:tc>
        <w:tc>
          <w:tcPr>
            <w:tcW w:type="dxa" w:w="4873"/>
          </w:tcPr>
          <w:p>
            <w:r>
              <w:rPr>
                <w:color w:val="6C7A94"/>
                <w:sz w:val="19"/>
              </w:rPr>
              <w: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Premier passage : 22 lignes sur 27 classées obligatoires, pour 84 unités sur 100. Écart au plafond : 24 unités au-dessus. Sept lignes faisaient l’objet d’un désaccord entre les référents boutique et le siège.</w:t>
            </w:r>
          </w:p>
        </w:tc>
      </w:tr>
    </w:tbl>
    <w:p/>
    <w:p>
      <w:pPr>
        <w:pStyle w:val="Heading2"/>
      </w:pPr>
      <w:r>
        <w:t>3. Les décisions prises</w:t>
      </w:r>
    </w:p>
    <w:p>
      <w:r>
        <w:rPr>
          <w:b/>
          <w:sz w:val="19"/>
        </w:rPr>
        <w:t xml:space="preserve">Ce qu’on attend ici : </w:t>
      </w:r>
      <w:r>
        <w:rPr>
          <w:color w:val="6C7A94"/>
          <w:sz w:val="19"/>
        </w:rPr>
        <w:t>une ligne par descente de niveau, avec sa raison. C’est la partie la plus utile du compte rendu, et celle qu’on saute le plus souvent.</w:t>
      </w:r>
    </w:p>
    <w:p>
      <w:r>
        <w:t>Les points à couvrir :</w:t>
      </w:r>
    </w:p>
    <w:p>
      <w:pPr>
        <w:pStyle w:val="ListBullet"/>
      </w:pPr>
      <w:r>
        <w:t>La fonctionnalité, son niveau avant et après.</w:t>
      </w:r>
    </w:p>
    <w:p>
      <w:pPr>
        <w:pStyle w:val="ListBullet"/>
      </w:pPr>
      <w:r>
        <w:t>La raison, en une phrase, exploitable par quelqu’un qui n’était pas là.</w:t>
      </w:r>
    </w:p>
    <w:p>
      <w:pPr>
        <w:pStyle w:val="ListBullet"/>
      </w:pPr>
      <w:r>
        <w:t>Qui a tranché.</w:t>
      </w:r>
    </w:p>
    <w:p>
      <w:pPr>
        <w:pStyle w:val="ListBullet"/>
      </w:pPr>
      <w:r>
        <w:t>Ce qui a été explicitement refusé de descendre, et pourquoi.</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Descente 1</w:t>
            </w:r>
          </w:p>
        </w:tc>
        <w:tc>
          <w:tcPr>
            <w:tcW w:type="dxa" w:w="4873"/>
          </w:tcPr>
          <w:p>
            <w:r>
              <w:rPr>
                <w:color w:val="6C7A94"/>
                <w:sz w:val="19"/>
              </w:rPr>
              <w:t>[ID] · [avant] vers [après] · raison [.]</w:t>
            </w:r>
          </w:p>
        </w:tc>
      </w:tr>
      <w:tr>
        <w:tc>
          <w:tcPr>
            <w:tcW w:type="dxa" w:w="4873"/>
          </w:tcPr>
          <w:p>
            <w:r>
              <w:rPr>
                <w:sz w:val="19"/>
              </w:rPr>
              <w:t>Descente 2</w:t>
            </w:r>
          </w:p>
        </w:tc>
        <w:tc>
          <w:tcPr>
            <w:tcW w:type="dxa" w:w="4873"/>
          </w:tcPr>
          <w:p>
            <w:r>
              <w:rPr>
                <w:color w:val="6C7A94"/>
                <w:sz w:val="19"/>
              </w:rPr>
              <w:t>[.]</w:t>
            </w:r>
          </w:p>
        </w:tc>
      </w:tr>
      <w:tr>
        <w:tc>
          <w:tcPr>
            <w:tcW w:type="dxa" w:w="4873"/>
          </w:tcPr>
          <w:p>
            <w:r>
              <w:rPr>
                <w:sz w:val="19"/>
              </w:rPr>
              <w:t>Descente 3</w:t>
            </w:r>
          </w:p>
        </w:tc>
        <w:tc>
          <w:tcPr>
            <w:tcW w:type="dxa" w:w="4873"/>
          </w:tcPr>
          <w:p>
            <w:r>
              <w:rPr>
                <w:color w:val="6C7A94"/>
                <w:sz w:val="19"/>
              </w:rPr>
              <w:t>[.]</w:t>
            </w:r>
          </w:p>
        </w:tc>
      </w:tr>
      <w:tr>
        <w:tc>
          <w:tcPr>
            <w:tcW w:type="dxa" w:w="4873"/>
          </w:tcPr>
          <w:p>
            <w:r>
              <w:rPr>
                <w:sz w:val="19"/>
              </w:rPr>
              <w:t>Non descendu malgré la demande</w:t>
            </w:r>
          </w:p>
        </w:tc>
        <w:tc>
          <w:tcPr>
            <w:tcW w:type="dxa" w:w="4873"/>
          </w:tcPr>
          <w:p>
            <w:r>
              <w:rPr>
                <w:color w:val="6C7A94"/>
                <w:sz w:val="19"/>
              </w:rPr>
              <w:t>[ID] · raison [.]</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F-12 reprendre sa commande habituelle : obligatoire vers souhaitable, le produit fonctionne sans et la répétition sera traitée au trimestre suivant. F-13 notification de retrait : obligatoire vers souhaitable, contournement existant par le créneau garanti affiché. F-05 suppression de compte : maintenue obligatoire malgré la demande de report, exigence des magasins d’applications, non arbitrable.</w:t>
            </w:r>
          </w:p>
        </w:tc>
      </w:tr>
    </w:tbl>
    <w:p/>
    <w:p>
      <w:pPr>
        <w:pStyle w:val="Heading2"/>
      </w:pPr>
      <w:r>
        <w:t>4. Le lot retenu</w:t>
      </w:r>
    </w:p>
    <w:p>
      <w:r>
        <w:rPr>
          <w:b/>
          <w:sz w:val="19"/>
        </w:rPr>
        <w:t xml:space="preserve">Ce qu’on attend ici : </w:t>
      </w:r>
      <w:r>
        <w:rPr>
          <w:color w:val="6C7A94"/>
          <w:sz w:val="19"/>
        </w:rPr>
        <w:t>l’état final, celui qui part en consultation ou en développement.</w:t>
      </w:r>
    </w:p>
    <w:p>
      <w:r>
        <w:t>Les points à couvrir :</w:t>
      </w:r>
    </w:p>
    <w:p>
      <w:pPr>
        <w:pStyle w:val="ListBullet"/>
      </w:pPr>
      <w:r>
        <w:t>La charge par niveau après arbitrage, et la part de l’obligatoire.</w:t>
      </w:r>
    </w:p>
    <w:p>
      <w:pPr>
        <w:pStyle w:val="ListBullet"/>
      </w:pPr>
      <w:r>
        <w:t>La confirmation que le plafond est respecté.</w:t>
      </w:r>
    </w:p>
    <w:p>
      <w:pPr>
        <w:pStyle w:val="ListBullet"/>
      </w:pPr>
      <w:r>
        <w:t>Ce que contient précisément le niveau obligatoire, en une liste.</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Obligatoire après arbitrage</w:t>
            </w:r>
          </w:p>
        </w:tc>
        <w:tc>
          <w:tcPr>
            <w:tcW w:type="dxa" w:w="4873"/>
          </w:tcPr>
          <w:p>
            <w:r>
              <w:rPr>
                <w:color w:val="6C7A94"/>
                <w:sz w:val="19"/>
              </w:rPr>
              <w:t>[n] lignes · [charge] unités · [part] %</w:t>
            </w:r>
          </w:p>
        </w:tc>
      </w:tr>
      <w:tr>
        <w:tc>
          <w:tcPr>
            <w:tcW w:type="dxa" w:w="4873"/>
          </w:tcPr>
          <w:p>
            <w:r>
              <w:rPr>
                <w:sz w:val="19"/>
              </w:rPr>
              <w:t>Souhaitable</w:t>
            </w:r>
          </w:p>
        </w:tc>
        <w:tc>
          <w:tcPr>
            <w:tcW w:type="dxa" w:w="4873"/>
          </w:tcPr>
          <w:p>
            <w:r>
              <w:rPr>
                <w:color w:val="6C7A94"/>
                <w:sz w:val="19"/>
              </w:rPr>
              <w:t>[.]</w:t>
            </w:r>
          </w:p>
        </w:tc>
      </w:tr>
      <w:tr>
        <w:tc>
          <w:tcPr>
            <w:tcW w:type="dxa" w:w="4873"/>
          </w:tcPr>
          <w:p>
            <w:r>
              <w:rPr>
                <w:sz w:val="19"/>
              </w:rPr>
              <w:t>Possible</w:t>
            </w:r>
          </w:p>
        </w:tc>
        <w:tc>
          <w:tcPr>
            <w:tcW w:type="dxa" w:w="4873"/>
          </w:tcPr>
          <w:p>
            <w:r>
              <w:rPr>
                <w:color w:val="6C7A94"/>
                <w:sz w:val="19"/>
              </w:rPr>
              <w:t>[.]</w:t>
            </w:r>
          </w:p>
        </w:tc>
      </w:tr>
      <w:tr>
        <w:tc>
          <w:tcPr>
            <w:tcW w:type="dxa" w:w="4873"/>
          </w:tcPr>
          <w:p>
            <w:r>
              <w:rPr>
                <w:sz w:val="19"/>
              </w:rPr>
              <w:t>Plafond</w:t>
            </w:r>
          </w:p>
        </w:tc>
        <w:tc>
          <w:tcPr>
            <w:tcW w:type="dxa" w:w="4873"/>
          </w:tcPr>
          <w:p>
            <w:r>
              <w:rPr>
                <w:color w:val="6C7A94"/>
                <w:sz w:val="19"/>
              </w:rPr>
              <w:t>[respecté / dépassé]</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Après arbitrage : 11 lignes obligatoires pour 60 unités, soit 60 % de la charge du lot. Sept lignes souhaitables pour 30 unités. Quatre lignes possibles pour 9 unités. Plafond respecté.</w:t>
            </w:r>
          </w:p>
        </w:tc>
      </w:tr>
    </w:tbl>
    <w:p/>
    <w:p>
      <w:pPr>
        <w:pStyle w:val="Heading2"/>
      </w:pPr>
      <w:r>
        <w:t>5. Ce qui sort du lot, et quand on le revoit</w:t>
      </w:r>
    </w:p>
    <w:p>
      <w:r>
        <w:rPr>
          <w:b/>
          <w:sz w:val="19"/>
        </w:rPr>
        <w:t xml:space="preserve">Ce qu’on attend ici : </w:t>
      </w:r>
      <w:r>
        <w:rPr>
          <w:color w:val="6C7A94"/>
          <w:sz w:val="19"/>
        </w:rPr>
        <w:t>le niveau exclu n’est pas une corbeille. Il porte une date, et c’est cette date qui le rend acceptable par ceux dont la demande sort.</w:t>
      </w:r>
    </w:p>
    <w:p>
      <w:r>
        <w:t>Les points à couvrir :</w:t>
      </w:r>
    </w:p>
    <w:p>
      <w:pPr>
        <w:pStyle w:val="ListBullet"/>
      </w:pPr>
      <w:r>
        <w:t>Les lignes sorties, avec leur demandeur d’origine.</w:t>
      </w:r>
    </w:p>
    <w:p>
      <w:pPr>
        <w:pStyle w:val="ListBullet"/>
      </w:pPr>
      <w:r>
        <w:t>La date de la prochaine revue, fixée maintenant.</w:t>
      </w:r>
    </w:p>
    <w:p>
      <w:pPr>
        <w:pStyle w:val="ListBullet"/>
      </w:pPr>
      <w:r>
        <w:t>Ce qui, dans le contexte, pourrait les faire revenir plus tôt.</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Sorties du lot</w:t>
            </w:r>
          </w:p>
        </w:tc>
        <w:tc>
          <w:tcPr>
            <w:tcW w:type="dxa" w:w="4873"/>
          </w:tcPr>
          <w:p>
            <w:r>
              <w:rPr>
                <w:color w:val="6C7A94"/>
                <w:sz w:val="19"/>
              </w:rPr>
              <w:t>[.]</w:t>
            </w:r>
          </w:p>
        </w:tc>
      </w:tr>
      <w:tr>
        <w:tc>
          <w:tcPr>
            <w:tcW w:type="dxa" w:w="4873"/>
          </w:tcPr>
          <w:p>
            <w:r>
              <w:rPr>
                <w:sz w:val="19"/>
              </w:rPr>
              <w:t>Date de revue</w:t>
            </w:r>
          </w:p>
        </w:tc>
        <w:tc>
          <w:tcPr>
            <w:tcW w:type="dxa" w:w="4873"/>
          </w:tcPr>
          <w:p>
            <w:r>
              <w:rPr>
                <w:color w:val="6C7A94"/>
                <w:sz w:val="19"/>
              </w:rPr>
              <w:t>[.]</w:t>
            </w:r>
          </w:p>
        </w:tc>
      </w:tr>
      <w:tr>
        <w:tc>
          <w:tcPr>
            <w:tcW w:type="dxa" w:w="4873"/>
          </w:tcPr>
          <w:p>
            <w:r>
              <w:rPr>
                <w:sz w:val="19"/>
              </w:rPr>
              <w:t>Ce qui les ferait revenir</w:t>
            </w:r>
          </w:p>
        </w:tc>
        <w:tc>
          <w:tcPr>
            <w:tcW w:type="dxa" w:w="4873"/>
          </w:tcPr>
          <w:p>
            <w:r>
              <w:rPr>
                <w:color w:val="6C7A94"/>
                <w:sz w:val="19"/>
              </w:rPr>
              <w:t>[.]</w:t>
            </w:r>
          </w:p>
        </w:tc>
      </w:tr>
    </w:tbl>
    <w:p/>
    <w:tbl>
      <w:tblPr>
        <w:tblW w:type="auto" w:w="0"/>
        <w:jc w:val="center"/>
        <w:tblLook w:firstColumn="1" w:firstRow="1" w:lastColumn="0" w:lastRow="0" w:noHBand="0" w:noVBand="1" w:val="04A0"/>
      </w:tblPr>
      <w:tblGrid>
        <w:gridCol w:w="9746"/>
      </w:tblGrid>
      <w:tr>
        <w:tc>
          <w:tcPr>
            <w:tcW w:type="dxa" w:w="9746"/>
            <w:shd w:val="clear" w:color="auto" w:fill="EEF3FF"/>
          </w:tcPr>
          <w:p>
            <w:r>
              <w:rPr>
                <w:b/>
                <w:color w:val="154CE4"/>
                <w:sz w:val="19"/>
              </w:rPr>
              <w:t>Exemple rempli · cas fictif Rondo</w:t>
            </w:r>
          </w:p>
          <w:p>
            <w:r>
              <w:rPr>
                <w:sz w:val="19"/>
              </w:rPr>
              <w:t>Livraison à domicile, abonnement mensuel, parrainage, version tablette de comptoir, langues étrangères. Revue au comité de janvier. La version tablette reviendrait plus tôt si le renouvellement du parc de caisses était avancé.</w:t>
            </w:r>
          </w:p>
        </w:tc>
      </w:tr>
    </w:tbl>
    <w:p/>
    <w:p>
      <w:pPr>
        <w:pStyle w:val="Heading2"/>
      </w:pPr>
      <w:r>
        <w:t>6. À la revue suivante</w:t>
      </w:r>
    </w:p>
    <w:p>
      <w:r>
        <w:rPr>
          <w:b/>
          <w:sz w:val="19"/>
        </w:rPr>
        <w:t xml:space="preserve">Ce qu’on attend ici : </w:t>
      </w:r>
      <w:r>
        <w:rPr>
          <w:color w:val="6C7A94"/>
          <w:sz w:val="19"/>
        </w:rPr>
        <w:t>à remplir au prochain comité, pas maintenant. Sert à vérifier que les descentes de niveau n’ont pas coûté ce qu’on croyait.</w:t>
      </w:r>
    </w:p>
    <w:p>
      <w:r>
        <w:t>Les points à couvrir :</w:t>
      </w:r>
    </w:p>
    <w:p>
      <w:pPr>
        <w:pStyle w:val="ListBullet"/>
      </w:pPr>
      <w:r>
        <w:t>Ce qui a été livré du niveau obligatoire, et ce qui a glissé.</w:t>
      </w:r>
    </w:p>
    <w:p>
      <w:pPr>
        <w:pStyle w:val="ListBullet"/>
      </w:pPr>
      <w:r>
        <w:t>Les descentes qui se sont révélées douloureuses, et ce qu’on en apprend.</w:t>
      </w:r>
    </w:p>
    <w:p>
      <w:pPr>
        <w:pStyle w:val="ListBullet"/>
      </w:pPr>
      <w:r>
        <w:t>Les lignes du niveau exclu qui doivent remonter.</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Élément</w:t>
            </w:r>
          </w:p>
        </w:tc>
        <w:tc>
          <w:tcPr>
            <w:tcW w:type="dxa" w:w="4873"/>
            <w:shd w:val="clear" w:color="auto" w:fill="0A1C4A"/>
          </w:tcPr>
          <w:p>
            <w:r>
              <w:rPr>
                <w:b/>
                <w:color w:val="FFFFFF"/>
                <w:sz w:val="18"/>
              </w:rPr>
              <w:t>À compléter</w:t>
            </w:r>
          </w:p>
        </w:tc>
      </w:tr>
      <w:tr>
        <w:tc>
          <w:tcPr>
            <w:tcW w:type="dxa" w:w="4873"/>
          </w:tcPr>
          <w:p>
            <w:r>
              <w:rPr>
                <w:sz w:val="19"/>
              </w:rPr>
              <w:t>Livré</w:t>
            </w:r>
          </w:p>
        </w:tc>
        <w:tc>
          <w:tcPr>
            <w:tcW w:type="dxa" w:w="4873"/>
          </w:tcPr>
          <w:p>
            <w:r>
              <w:rPr>
                <w:color w:val="6C7A94"/>
                <w:sz w:val="19"/>
              </w:rPr>
              <w:t>[.]</w:t>
            </w:r>
          </w:p>
        </w:tc>
      </w:tr>
      <w:tr>
        <w:tc>
          <w:tcPr>
            <w:tcW w:type="dxa" w:w="4873"/>
          </w:tcPr>
          <w:p>
            <w:r>
              <w:rPr>
                <w:sz w:val="19"/>
              </w:rPr>
              <w:t>A glissé</w:t>
            </w:r>
          </w:p>
        </w:tc>
        <w:tc>
          <w:tcPr>
            <w:tcW w:type="dxa" w:w="4873"/>
          </w:tcPr>
          <w:p>
            <w:r>
              <w:rPr>
                <w:color w:val="6C7A94"/>
                <w:sz w:val="19"/>
              </w:rPr>
              <w:t>[.]</w:t>
            </w:r>
          </w:p>
        </w:tc>
      </w:tr>
      <w:tr>
        <w:tc>
          <w:tcPr>
            <w:tcW w:type="dxa" w:w="4873"/>
          </w:tcPr>
          <w:p>
            <w:r>
              <w:rPr>
                <w:sz w:val="19"/>
              </w:rPr>
              <w:t>Descente regrettée</w:t>
            </w:r>
          </w:p>
        </w:tc>
        <w:tc>
          <w:tcPr>
            <w:tcW w:type="dxa" w:w="4873"/>
          </w:tcPr>
          <w:p>
            <w:r>
              <w:rPr>
                <w:color w:val="6C7A94"/>
                <w:sz w:val="19"/>
              </w:rPr>
              <w:t>[.]</w:t>
            </w:r>
          </w:p>
        </w:tc>
      </w:tr>
      <w:tr>
        <w:tc>
          <w:tcPr>
            <w:tcW w:type="dxa" w:w="4873"/>
          </w:tcPr>
          <w:p>
            <w:r>
              <w:rPr>
                <w:sz w:val="19"/>
              </w:rPr>
              <w:t>Remonte du niveau exclu</w:t>
            </w:r>
          </w:p>
        </w:tc>
        <w:tc>
          <w:tcPr>
            <w:tcW w:type="dxa" w:w="4873"/>
          </w:tcPr>
          <w:p>
            <w:r>
              <w:rPr>
                <w:color w:val="6C7A94"/>
                <w:sz w:val="19"/>
              </w:rPr>
              <w:t>[.]</w:t>
            </w:r>
          </w:p>
        </w:tc>
      </w:tr>
    </w:tbl>
    <w:p/>
    <w:p>
      <w:r>
        <w:br w:type="page"/>
      </w:r>
    </w:p>
    <w:p>
      <w:pPr>
        <w:pStyle w:val="Heading1"/>
      </w:pPr>
      <w:r>
        <w:t>Annexe · la matrice remplie (cas fictif Rondo)</w:t>
      </w:r>
    </w:p>
    <w:p>
      <w:r>
        <w:t>Cas d’école fictif. Rondo est une application inventée pour la démonstration : un réseau de 62 boulangeries indépendantes qui veut proposer la commande à l’avance et une carte de fidélité dématérialisée. Ce réseau n’existe pas, et les chiffres qui l’accompagnent illustrent une méthode de mesure, pas une référence de marché.</w:t>
      </w:r>
    </w:p>
    <w:tbl>
      <w:tblPr>
        <w:tblStyle w:val="TableGrid"/>
        <w:tblW w:type="auto" w:w="0"/>
        <w:tblLook w:firstColumn="1" w:firstRow="1" w:lastColumn="0" w:lastRow="0" w:noHBand="0" w:noVBand="1" w:val="04A0"/>
      </w:tblPr>
      <w:tblGrid>
        <w:gridCol w:w="4873"/>
        <w:gridCol w:w="4873"/>
      </w:tblGrid>
      <w:tr>
        <w:tc>
          <w:tcPr>
            <w:tcW w:type="dxa" w:w="4873"/>
            <w:shd w:val="clear" w:color="auto" w:fill="0A1C4A"/>
          </w:tcPr>
          <w:p>
            <w:r>
              <w:rPr>
                <w:b/>
                <w:color w:val="FFFFFF"/>
                <w:sz w:val="18"/>
              </w:rPr>
              <w:t>Section</w:t>
            </w:r>
          </w:p>
        </w:tc>
        <w:tc>
          <w:tcPr>
            <w:tcW w:type="dxa" w:w="4873"/>
            <w:shd w:val="clear" w:color="auto" w:fill="0A1C4A"/>
          </w:tcPr>
          <w:p>
            <w:r>
              <w:rPr>
                <w:b/>
                <w:color w:val="FFFFFF"/>
                <w:sz w:val="18"/>
              </w:rPr>
              <w:t>Contenu</w:t>
            </w:r>
          </w:p>
        </w:tc>
      </w:tr>
      <w:tr>
        <w:tc>
          <w:tcPr>
            <w:tcW w:type="dxa" w:w="4873"/>
          </w:tcPr>
          <w:p>
            <w:r>
              <w:rPr>
                <w:b/>
                <w:sz w:val="19"/>
              </w:rPr>
              <w:t>F-01 · Obligatoire</w:t>
            </w:r>
          </w:p>
        </w:tc>
        <w:tc>
          <w:tcPr>
            <w:tcW w:type="dxa" w:w="4873"/>
          </w:tcPr>
          <w:p>
            <w:r>
              <w:rPr>
                <w:sz w:val="19"/>
              </w:rPr>
              <w:t>Commander une liste de produits dans une boutique choisie (Commande) · charge 8 · Sans cela, il n’y a pas de produit</w:t>
            </w:r>
          </w:p>
        </w:tc>
      </w:tr>
      <w:tr>
        <w:tc>
          <w:tcPr>
            <w:tcW w:type="dxa" w:w="4873"/>
          </w:tcPr>
          <w:p>
            <w:r>
              <w:rPr>
                <w:b/>
                <w:sz w:val="19"/>
              </w:rPr>
              <w:t>F-02 · Obligatoire</w:t>
            </w:r>
          </w:p>
        </w:tc>
        <w:tc>
          <w:tcPr>
            <w:tcW w:type="dxa" w:w="4873"/>
          </w:tcPr>
          <w:p>
            <w:r>
              <w:rPr>
                <w:sz w:val="19"/>
              </w:rPr>
              <w:t>Choisir un créneau de retrait (Commande) · charge 8 · Le gain de temps visé repose dessus</w:t>
            </w:r>
          </w:p>
        </w:tc>
      </w:tr>
      <w:tr>
        <w:tc>
          <w:tcPr>
            <w:tcW w:type="dxa" w:w="4873"/>
          </w:tcPr>
          <w:p>
            <w:r>
              <w:rPr>
                <w:b/>
                <w:sz w:val="19"/>
              </w:rPr>
              <w:t>F-03 · Obligatoire</w:t>
            </w:r>
          </w:p>
        </w:tc>
        <w:tc>
          <w:tcPr>
            <w:tcW w:type="dxa" w:w="4873"/>
          </w:tcPr>
          <w:p>
            <w:r>
              <w:rPr>
                <w:sz w:val="19"/>
              </w:rPr>
              <w:t>Payer la commande en ligne (Paiement) · charge 5 · Le paiement au comptoir annulerait le gain de temps</w:t>
            </w:r>
          </w:p>
        </w:tc>
      </w:tr>
      <w:tr>
        <w:tc>
          <w:tcPr>
            <w:tcW w:type="dxa" w:w="4873"/>
          </w:tcPr>
          <w:p>
            <w:r>
              <w:rPr>
                <w:b/>
                <w:sz w:val="19"/>
              </w:rPr>
              <w:t>F-04 · Obligatoire</w:t>
            </w:r>
          </w:p>
        </w:tc>
        <w:tc>
          <w:tcPr>
            <w:tcW w:type="dxa" w:w="4873"/>
          </w:tcPr>
          <w:p>
            <w:r>
              <w:rPr>
                <w:sz w:val="19"/>
              </w:rPr>
              <w:t>Créer un compte par numéro de téléphone (Compte) · charge 5 · Condition de la fidélité et du suivi de commande</w:t>
            </w:r>
          </w:p>
        </w:tc>
      </w:tr>
      <w:tr>
        <w:tc>
          <w:tcPr>
            <w:tcW w:type="dxa" w:w="4873"/>
          </w:tcPr>
          <w:p>
            <w:r>
              <w:rPr>
                <w:b/>
                <w:sz w:val="19"/>
              </w:rPr>
              <w:t>F-05 · Obligatoire</w:t>
            </w:r>
          </w:p>
        </w:tc>
        <w:tc>
          <w:tcPr>
            <w:tcW w:type="dxa" w:w="4873"/>
          </w:tcPr>
          <w:p>
            <w:r>
              <w:rPr>
                <w:sz w:val="19"/>
              </w:rPr>
              <w:t>Supprimer son compte depuis l’application (Compte) · charge 3 · Exigence des magasins d’applications, non arbitrable</w:t>
            </w:r>
          </w:p>
        </w:tc>
      </w:tr>
      <w:tr>
        <w:tc>
          <w:tcPr>
            <w:tcW w:type="dxa" w:w="4873"/>
          </w:tcPr>
          <w:p>
            <w:r>
              <w:rPr>
                <w:b/>
                <w:sz w:val="19"/>
              </w:rPr>
              <w:t>F-06 · Obligatoire</w:t>
            </w:r>
          </w:p>
        </w:tc>
        <w:tc>
          <w:tcPr>
            <w:tcW w:type="dxa" w:w="4873"/>
          </w:tcPr>
          <w:p>
            <w:r>
              <w:rPr>
                <w:sz w:val="19"/>
              </w:rPr>
              <w:t>Accéder à la politique de confidentialité (Compte) · charge 2 · Obligation légale et exigence de publication</w:t>
            </w:r>
          </w:p>
        </w:tc>
      </w:tr>
      <w:tr>
        <w:tc>
          <w:tcPr>
            <w:tcW w:type="dxa" w:w="4873"/>
          </w:tcPr>
          <w:p>
            <w:r>
              <w:rPr>
                <w:b/>
                <w:sz w:val="19"/>
              </w:rPr>
              <w:t>F-07 · Obligatoire</w:t>
            </w:r>
          </w:p>
        </w:tc>
        <w:tc>
          <w:tcPr>
            <w:tcW w:type="dxa" w:w="4873"/>
          </w:tcPr>
          <w:p>
            <w:r>
              <w:rPr>
                <w:sz w:val="19"/>
              </w:rPr>
              <w:t>Écran boutique pour suspendre un produit épuisé (Back-office) · charge 6 · Sans lui, le réseau vend ce qu’il n’a plus dès la première semaine</w:t>
            </w:r>
          </w:p>
        </w:tc>
      </w:tr>
      <w:tr>
        <w:tc>
          <w:tcPr>
            <w:tcW w:type="dxa" w:w="4873"/>
          </w:tcPr>
          <w:p>
            <w:r>
              <w:rPr>
                <w:b/>
                <w:sz w:val="19"/>
              </w:rPr>
              <w:t>F-08 · Obligatoire</w:t>
            </w:r>
          </w:p>
        </w:tc>
        <w:tc>
          <w:tcPr>
            <w:tcW w:type="dxa" w:w="4873"/>
          </w:tcPr>
          <w:p>
            <w:r>
              <w:rPr>
                <w:sz w:val="19"/>
              </w:rPr>
              <w:t>Mettre à jour catalogue et prix par boutique (Back-office) · charge 8 · Les boutiques sont indépendantes, chacune décide de son offre</w:t>
            </w:r>
          </w:p>
        </w:tc>
      </w:tr>
      <w:tr>
        <w:tc>
          <w:tcPr>
            <w:tcW w:type="dxa" w:w="4873"/>
          </w:tcPr>
          <w:p>
            <w:r>
              <w:rPr>
                <w:b/>
                <w:sz w:val="19"/>
              </w:rPr>
              <w:t>F-09 · Obligatoire</w:t>
            </w:r>
          </w:p>
        </w:tc>
        <w:tc>
          <w:tcPr>
            <w:tcW w:type="dxa" w:w="4873"/>
          </w:tcPr>
          <w:p>
            <w:r>
              <w:rPr>
                <w:sz w:val="19"/>
              </w:rPr>
              <w:t>Voir les commandes du créneau en cours (Back-office) · charge 6 · Sans cela, la préparation se fait dans le désordre</w:t>
            </w:r>
          </w:p>
        </w:tc>
      </w:tr>
      <w:tr>
        <w:tc>
          <w:tcPr>
            <w:tcW w:type="dxa" w:w="4873"/>
          </w:tcPr>
          <w:p>
            <w:r>
              <w:rPr>
                <w:b/>
                <w:sz w:val="19"/>
              </w:rPr>
              <w:t>F-10 · Obligatoire</w:t>
            </w:r>
          </w:p>
        </w:tc>
        <w:tc>
          <w:tcPr>
            <w:tcW w:type="dxa" w:w="4873"/>
          </w:tcPr>
          <w:p>
            <w:r>
              <w:rPr>
                <w:sz w:val="19"/>
              </w:rPr>
              <w:t>Voir son solde de points (Fidélité) · charge 4 · Cœur de l’objectif de fidélité</w:t>
            </w:r>
          </w:p>
        </w:tc>
      </w:tr>
      <w:tr>
        <w:tc>
          <w:tcPr>
            <w:tcW w:type="dxa" w:w="4873"/>
          </w:tcPr>
          <w:p>
            <w:r>
              <w:rPr>
                <w:b/>
                <w:sz w:val="19"/>
              </w:rPr>
              <w:t>F-11 · Obligatoire</w:t>
            </w:r>
          </w:p>
        </w:tc>
        <w:tc>
          <w:tcPr>
            <w:tcW w:type="dxa" w:w="4873"/>
          </w:tcPr>
          <w:p>
            <w:r>
              <w:rPr>
                <w:sz w:val="19"/>
              </w:rPr>
              <w:t>Cumuler des points sur un achat au comptoir (Fidélité) · charge 5 · La majorité des passages restent au comptoir</w:t>
            </w:r>
          </w:p>
        </w:tc>
      </w:tr>
      <w:tr>
        <w:tc>
          <w:tcPr>
            <w:tcW w:type="dxa" w:w="4873"/>
          </w:tcPr>
          <w:p>
            <w:r>
              <w:rPr>
                <w:b/>
                <w:sz w:val="19"/>
              </w:rPr>
              <w:t>F-12 · Souhaitable</w:t>
            </w:r>
          </w:p>
        </w:tc>
        <w:tc>
          <w:tcPr>
            <w:tcW w:type="dxa" w:w="4873"/>
          </w:tcPr>
          <w:p>
            <w:r>
              <w:rPr>
                <w:sz w:val="19"/>
              </w:rPr>
              <w:t>Reprendre sa commande habituelle en un geste (Commande) · charge 4 · Le produit fonctionne sans, mais la répétition en dépend</w:t>
            </w:r>
          </w:p>
        </w:tc>
      </w:tr>
      <w:tr>
        <w:tc>
          <w:tcPr>
            <w:tcW w:type="dxa" w:w="4873"/>
          </w:tcPr>
          <w:p>
            <w:r>
              <w:rPr>
                <w:b/>
                <w:sz w:val="19"/>
              </w:rPr>
              <w:t>F-13 · Souhaitable</w:t>
            </w:r>
          </w:p>
        </w:tc>
        <w:tc>
          <w:tcPr>
            <w:tcW w:type="dxa" w:w="4873"/>
          </w:tcPr>
          <w:p>
            <w:r>
              <w:rPr>
                <w:sz w:val="19"/>
              </w:rPr>
              <w:t>Notification quand la commande est prête (Notifications) · charge 3 · Contournable par un créneau garanti affiché à la commande</w:t>
            </w:r>
          </w:p>
        </w:tc>
      </w:tr>
      <w:tr>
        <w:tc>
          <w:tcPr>
            <w:tcW w:type="dxa" w:w="4873"/>
          </w:tcPr>
          <w:p>
            <w:r>
              <w:rPr>
                <w:b/>
                <w:sz w:val="19"/>
              </w:rPr>
              <w:t>F-14 · Souhaitable</w:t>
            </w:r>
          </w:p>
        </w:tc>
        <w:tc>
          <w:tcPr>
            <w:tcW w:type="dxa" w:w="4873"/>
          </w:tcPr>
          <w:p>
            <w:r>
              <w:rPr>
                <w:sz w:val="19"/>
              </w:rPr>
              <w:t>Utiliser ses points sur une commande (Fidélité) · charge 5 · Peut arriver à la version suivante sans casser l’usage</w:t>
            </w:r>
          </w:p>
        </w:tc>
      </w:tr>
      <w:tr>
        <w:tc>
          <w:tcPr>
            <w:tcW w:type="dxa" w:w="4873"/>
          </w:tcPr>
          <w:p>
            <w:r>
              <w:rPr>
                <w:b/>
                <w:sz w:val="19"/>
              </w:rPr>
              <w:t>F-15 · Souhaitable</w:t>
            </w:r>
          </w:p>
        </w:tc>
        <w:tc>
          <w:tcPr>
            <w:tcW w:type="dxa" w:w="4873"/>
          </w:tcPr>
          <w:p>
            <w:r>
              <w:rPr>
                <w:sz w:val="19"/>
              </w:rPr>
              <w:t>Ouvrir et fermer les créneaux de la journée (Back-office) · charge 4 · Contournable par un appel au siège les premières semaines</w:t>
            </w:r>
          </w:p>
        </w:tc>
      </w:tr>
      <w:tr>
        <w:tc>
          <w:tcPr>
            <w:tcW w:type="dxa" w:w="4873"/>
          </w:tcPr>
          <w:p>
            <w:r>
              <w:rPr>
                <w:b/>
                <w:sz w:val="19"/>
              </w:rPr>
              <w:t>F-16 · Souhaitable</w:t>
            </w:r>
          </w:p>
        </w:tc>
        <w:tc>
          <w:tcPr>
            <w:tcW w:type="dxa" w:w="4873"/>
          </w:tcPr>
          <w:p>
            <w:r>
              <w:rPr>
                <w:sz w:val="19"/>
              </w:rPr>
              <w:t>Tableau de bord d’adoption par boutique (Pilotage) · charge 5 · Utile au siège, invisible pour le client</w:t>
            </w:r>
          </w:p>
        </w:tc>
      </w:tr>
      <w:tr>
        <w:tc>
          <w:tcPr>
            <w:tcW w:type="dxa" w:w="4873"/>
          </w:tcPr>
          <w:p>
            <w:r>
              <w:rPr>
                <w:b/>
                <w:sz w:val="19"/>
              </w:rPr>
              <w:t>F-17 · Souhaitable</w:t>
            </w:r>
          </w:p>
        </w:tc>
        <w:tc>
          <w:tcPr>
            <w:tcW w:type="dxa" w:w="4873"/>
          </w:tcPr>
          <w:p>
            <w:r>
              <w:rPr>
                <w:sz w:val="19"/>
              </w:rPr>
              <w:t>Fonctionnement avec un réseau instable (Technique) · charge 5 · Améliore nettement le ressenti, ne bloque pas l’usage</w:t>
            </w:r>
          </w:p>
        </w:tc>
      </w:tr>
      <w:tr>
        <w:tc>
          <w:tcPr>
            <w:tcW w:type="dxa" w:w="4873"/>
          </w:tcPr>
          <w:p>
            <w:r>
              <w:rPr>
                <w:b/>
                <w:sz w:val="19"/>
              </w:rPr>
              <w:t>F-18 · Souhaitable</w:t>
            </w:r>
          </w:p>
        </w:tc>
        <w:tc>
          <w:tcPr>
            <w:tcW w:type="dxa" w:w="4873"/>
          </w:tcPr>
          <w:p>
            <w:r>
              <w:rPr>
                <w:sz w:val="19"/>
              </w:rPr>
              <w:t>Lecteur d’écran et police agrandie (Accessibilité) · charge 4 · À traiter tôt : plus coûteux à rattraper après coup</w:t>
            </w:r>
          </w:p>
        </w:tc>
      </w:tr>
      <w:tr>
        <w:tc>
          <w:tcPr>
            <w:tcW w:type="dxa" w:w="4873"/>
          </w:tcPr>
          <w:p>
            <w:r>
              <w:rPr>
                <w:b/>
                <w:sz w:val="19"/>
              </w:rPr>
              <w:t>F-19 · Possible</w:t>
            </w:r>
          </w:p>
        </w:tc>
        <w:tc>
          <w:tcPr>
            <w:tcW w:type="dxa" w:w="4873"/>
          </w:tcPr>
          <w:p>
            <w:r>
              <w:rPr>
                <w:sz w:val="19"/>
              </w:rPr>
              <w:t>Historique des commandes sur douze mois (Compte) · charge 2 · Confort, aucune conséquence si absent</w:t>
            </w:r>
          </w:p>
        </w:tc>
      </w:tr>
      <w:tr>
        <w:tc>
          <w:tcPr>
            <w:tcW w:type="dxa" w:w="4873"/>
          </w:tcPr>
          <w:p>
            <w:r>
              <w:rPr>
                <w:b/>
                <w:sz w:val="19"/>
              </w:rPr>
              <w:t>F-20 · Possible</w:t>
            </w:r>
          </w:p>
        </w:tc>
        <w:tc>
          <w:tcPr>
            <w:tcW w:type="dxa" w:w="4873"/>
          </w:tcPr>
          <w:p>
            <w:r>
              <w:rPr>
                <w:sz w:val="19"/>
              </w:rPr>
              <w:t>Consigne libre sur un produit (Commande) · charge 2 · Demandé par deux boutiques seulement</w:t>
            </w:r>
          </w:p>
        </w:tc>
      </w:tr>
      <w:tr>
        <w:tc>
          <w:tcPr>
            <w:tcW w:type="dxa" w:w="4873"/>
          </w:tcPr>
          <w:p>
            <w:r>
              <w:rPr>
                <w:b/>
                <w:sz w:val="19"/>
              </w:rPr>
              <w:t>F-21 · Possible</w:t>
            </w:r>
          </w:p>
        </w:tc>
        <w:tc>
          <w:tcPr>
            <w:tcW w:type="dxa" w:w="4873"/>
          </w:tcPr>
          <w:p>
            <w:r>
              <w:rPr>
                <w:sz w:val="19"/>
              </w:rPr>
              <w:t>Favoris et liste de produits (Catalogue) · charge 3 · Recoupe largement la commande habituelle</w:t>
            </w:r>
          </w:p>
        </w:tc>
      </w:tr>
      <w:tr>
        <w:tc>
          <w:tcPr>
            <w:tcW w:type="dxa" w:w="4873"/>
          </w:tcPr>
          <w:p>
            <w:r>
              <w:rPr>
                <w:b/>
                <w:sz w:val="19"/>
              </w:rPr>
              <w:t>F-22 · Possible</w:t>
            </w:r>
          </w:p>
        </w:tc>
        <w:tc>
          <w:tcPr>
            <w:tcW w:type="dxa" w:w="4873"/>
          </w:tcPr>
          <w:p>
            <w:r>
              <w:rPr>
                <w:sz w:val="19"/>
              </w:rPr>
              <w:t>Partage d’une boutique à un proche (Catalogue) · charge 2 · Pas de lien avec un objectif de la note de cadrage</w:t>
            </w:r>
          </w:p>
        </w:tc>
      </w:tr>
      <w:tr>
        <w:tc>
          <w:tcPr>
            <w:tcW w:type="dxa" w:w="4873"/>
          </w:tcPr>
          <w:p>
            <w:r>
              <w:rPr>
                <w:b/>
                <w:sz w:val="19"/>
              </w:rPr>
              <w:t>F-23 · Hors de ce lot</w:t>
            </w:r>
          </w:p>
        </w:tc>
        <w:tc>
          <w:tcPr>
            <w:tcW w:type="dxa" w:w="4873"/>
          </w:tcPr>
          <w:p>
            <w:r>
              <w:rPr>
                <w:sz w:val="19"/>
              </w:rPr>
              <w:t>Livraison à domicile (Hors lot) · charge 0 · Reporté, revue au comité de janvier</w:t>
            </w:r>
          </w:p>
        </w:tc>
      </w:tr>
      <w:tr>
        <w:tc>
          <w:tcPr>
            <w:tcW w:type="dxa" w:w="4873"/>
          </w:tcPr>
          <w:p>
            <w:r>
              <w:rPr>
                <w:b/>
                <w:sz w:val="19"/>
              </w:rPr>
              <w:t>F-24 · Hors de ce lot</w:t>
            </w:r>
          </w:p>
        </w:tc>
        <w:tc>
          <w:tcPr>
            <w:tcW w:type="dxa" w:w="4873"/>
          </w:tcPr>
          <w:p>
            <w:r>
              <w:rPr>
                <w:sz w:val="19"/>
              </w:rPr>
              <w:t>Abonnement mensuel (Hors lot) · charge 0 · Reporté, revue au comité de janvier</w:t>
            </w:r>
          </w:p>
        </w:tc>
      </w:tr>
      <w:tr>
        <w:tc>
          <w:tcPr>
            <w:tcW w:type="dxa" w:w="4873"/>
          </w:tcPr>
          <w:p>
            <w:r>
              <w:rPr>
                <w:b/>
                <w:sz w:val="19"/>
              </w:rPr>
              <w:t>F-25 · Hors de ce lot</w:t>
            </w:r>
          </w:p>
        </w:tc>
        <w:tc>
          <w:tcPr>
            <w:tcW w:type="dxa" w:w="4873"/>
          </w:tcPr>
          <w:p>
            <w:r>
              <w:rPr>
                <w:sz w:val="19"/>
              </w:rPr>
              <w:t>Programme de parrainage (Hors lot) · charge 0 · Reporté, revue au comité de janvier</w:t>
            </w:r>
          </w:p>
        </w:tc>
      </w:tr>
      <w:tr>
        <w:tc>
          <w:tcPr>
            <w:tcW w:type="dxa" w:w="4873"/>
          </w:tcPr>
          <w:p>
            <w:r>
              <w:rPr>
                <w:b/>
                <w:sz w:val="19"/>
              </w:rPr>
              <w:t>F-26 · Hors de ce lot</w:t>
            </w:r>
          </w:p>
        </w:tc>
        <w:tc>
          <w:tcPr>
            <w:tcW w:type="dxa" w:w="4873"/>
          </w:tcPr>
          <w:p>
            <w:r>
              <w:rPr>
                <w:sz w:val="19"/>
              </w:rPr>
              <w:t>Version tablette pour le comptoir (Hors lot) · charge 0 · Dépend du renouvellement des caisses</w:t>
            </w:r>
          </w:p>
        </w:tc>
      </w:tr>
      <w:tr>
        <w:tc>
          <w:tcPr>
            <w:tcW w:type="dxa" w:w="4873"/>
          </w:tcPr>
          <w:p>
            <w:r>
              <w:rPr>
                <w:b/>
                <w:sz w:val="19"/>
              </w:rPr>
              <w:t>F-27 · Hors de ce lot</w:t>
            </w:r>
          </w:p>
        </w:tc>
        <w:tc>
          <w:tcPr>
            <w:tcW w:type="dxa" w:w="4873"/>
          </w:tcPr>
          <w:p>
            <w:r>
              <w:rPr>
                <w:sz w:val="19"/>
              </w:rPr>
              <w:t>Langues autres que le français (Hors lot) · charge 0 · Reporté, revue au comité de janvier</w:t>
            </w:r>
          </w:p>
        </w:tc>
      </w:tr>
    </w:tbl>
    <w:sectPr w:rsidR="00FC693F" w:rsidRPr="0006063C" w:rsidSect="00034616">
      <w:footerReference w:type="default" r:id="rId9"/>
      <w:pgSz w:w="12240" w:h="15840"/>
      <w:pgMar w:top="1247"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A94"/>
        <w:sz w:val="16"/>
      </w:rPr>
      <w:t>agenceapplicationmobile.fr · modèle libre d’usage, y compris pour un projet commercial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1E2A4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0A1C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54CE4"/>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0A1C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