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54CE4"/>
          <w:sz w:val="16"/>
        </w:rPr>
        <w:t>AGENCEAPPLICATIONMOBILE.FR</w:t>
      </w:r>
    </w:p>
    <w:p>
      <w:pPr>
        <w:pStyle w:val="Heading1"/>
      </w:pPr>
      <w:r>
        <w:t>Guide de rédaction des user stories</w:t>
      </w:r>
    </w:p>
    <w:p>
      <w:r>
        <w:rPr>
          <w:color w:val="6C7A94"/>
          <w:sz w:val="23"/>
        </w:rPr>
        <w:t>La forme, les critères d’acceptation, le découpage</w:t>
      </w:r>
    </w:p>
    <w:p>
      <w:r>
        <w:t>Le tableur porte le backlog, ce guide porte la méthode. Il sert à cadrer la rédaction avec les personnes qui ne font pas de produit au quotidien : les référents métier, les futurs utilisateurs, la direction qui valide.</w:t>
      </w:r>
    </w:p>
    <w:tbl>
      <w:tblPr>
        <w:tblW w:type="auto" w:w="0"/>
        <w:jc w:val="center"/>
        <w:tblLook w:firstColumn="1" w:firstRow="1" w:lastColumn="0" w:lastRow="0" w:noHBand="0" w:noVBand="1" w:val="04A0"/>
      </w:tblPr>
      <w:tblGrid>
        <w:gridCol w:w="9746"/>
      </w:tblGrid>
      <w:tr>
        <w:tc>
          <w:tcPr>
            <w:tcW w:type="dxa" w:w="9746"/>
            <w:shd w:val="clear" w:color="auto" w:fill="F4F6FB"/>
          </w:tcPr>
          <w:p>
            <w:r>
              <w:rPr>
                <w:b/>
                <w:color w:val="154CE4"/>
                <w:sz w:val="19"/>
              </w:rPr>
              <w:t>Mode d’emploi</w:t>
            </w:r>
          </w:p>
          <w:p>
            <w:r>
              <w:rPr>
                <w:sz w:val="19"/>
              </w:rPr>
              <w:t>À diffuser avant le premier atelier de rédaction. Les pages 2 et 3 se lisent en dix minutes. Le gabarit de la page 4 s’imprime et se remplit à la main pendant l’atelier, avant d’être recopié dans le tableur.</w:t>
            </w:r>
          </w:p>
        </w:tc>
      </w:tr>
    </w:tbl>
    <w:p/>
    <w:tbl>
      <w:tblPr>
        <w:tblW w:type="auto" w:w="0"/>
        <w:jc w:val="center"/>
        <w:tblLook w:firstColumn="1" w:firstRow="1" w:lastColumn="0" w:lastRow="0" w:noHBand="0" w:noVBand="1" w:val="04A0"/>
      </w:tblPr>
      <w:tblGrid>
        <w:gridCol w:w="9746"/>
      </w:tblGrid>
      <w:tr>
        <w:tc>
          <w:tcPr>
            <w:tcW w:type="dxa" w:w="9746"/>
            <w:shd w:val="clear" w:color="auto" w:fill="EEF3FF"/>
          </w:tcPr>
          <w:p>
            <w:r>
              <w:rPr>
                <w:b/>
                <w:color w:val="154CE4"/>
                <w:sz w:val="19"/>
              </w:rPr>
              <w:t>Le cas d’école</w:t>
            </w:r>
          </w:p>
          <w:p>
            <w:r>
              <w:rPr>
                <w:sz w:val="19"/>
              </w:rPr>
              <w:t>Cas d’école fictif. Rondo est une application inventée pour la démonstration : un réseau de 62 boulangeries indépendantes qui veut proposer la commande à l’avance et une carte de fidélité dématérialisée. Ce réseau n’existe pas, et les chiffres qui l’accompagnent illustrent une méthode de mesure, pas une référence de marché.</w:t>
            </w:r>
          </w:p>
        </w:tc>
      </w:tr>
    </w:tbl>
    <w:p/>
    <w:p/>
    <w:p>
      <w:pPr>
        <w:pStyle w:val="Heading2"/>
      </w:pPr>
      <w:r>
        <w:t>1. La forme</w:t>
      </w:r>
    </w:p>
    <w:p>
      <w:r>
        <w:rPr>
          <w:b/>
          <w:sz w:val="19"/>
        </w:rPr>
        <w:t xml:space="preserve">Ce qu’on attend ici : </w:t>
      </w:r>
      <w:r>
        <w:rPr>
          <w:color w:val="6C7A94"/>
          <w:sz w:val="19"/>
        </w:rPr>
        <w:t>trois morceaux, trois fonctions. Le rôle dit à qui on s’adresse, l’action dit le résultat cherché, le bénéfice dit pourquoi.</w:t>
      </w:r>
    </w:p>
    <w:p>
      <w:r>
        <w:t>Les points à couvrir :</w:t>
      </w:r>
    </w:p>
    <w:p>
      <w:pPr>
        <w:pStyle w:val="ListBullet"/>
      </w:pPr>
      <w:r>
        <w:t>Le rôle est une personne précise. « Client fidèle » vaut mieux que « utilisateur ».</w:t>
      </w:r>
    </w:p>
    <w:p>
      <w:pPr>
        <w:pStyle w:val="ListBullet"/>
      </w:pPr>
      <w:r>
        <w:t>L’action décrit un résultat, jamais une solution d’interface.</w:t>
      </w:r>
    </w:p>
    <w:p>
      <w:pPr>
        <w:pStyle w:val="ListBullet"/>
      </w:pPr>
      <w:r>
        <w:t>Le bénéfice n’est pas décoratif : c’est lui qui permet de couper une story quand le budget se tend.</w:t>
      </w:r>
    </w:p>
    <w:tbl>
      <w:tblPr>
        <w:tblStyle w:val="TableGrid"/>
        <w:tblW w:type="auto" w:w="0"/>
        <w:tblLook w:firstColumn="1" w:firstRow="1" w:lastColumn="0" w:lastRow="0" w:noHBand="0" w:noVBand="1" w:val="04A0"/>
      </w:tblPr>
      <w:tblGrid>
        <w:gridCol w:w="4873"/>
        <w:gridCol w:w="4873"/>
      </w:tblGrid>
      <w:tr>
        <w:tc>
          <w:tcPr>
            <w:tcW w:type="dxa" w:w="4873"/>
            <w:shd w:val="clear" w:color="auto" w:fill="0A1C4A"/>
          </w:tcPr>
          <w:p>
            <w:r>
              <w:rPr>
                <w:b/>
                <w:color w:val="FFFFFF"/>
                <w:sz w:val="18"/>
              </w:rPr>
              <w:t>Élément</w:t>
            </w:r>
          </w:p>
        </w:tc>
        <w:tc>
          <w:tcPr>
            <w:tcW w:type="dxa" w:w="4873"/>
            <w:shd w:val="clear" w:color="auto" w:fill="0A1C4A"/>
          </w:tcPr>
          <w:p>
            <w:r>
              <w:rPr>
                <w:b/>
                <w:color w:val="FFFFFF"/>
                <w:sz w:val="18"/>
              </w:rPr>
              <w:t>À compléter</w:t>
            </w:r>
          </w:p>
        </w:tc>
      </w:tr>
      <w:tr>
        <w:tc>
          <w:tcPr>
            <w:tcW w:type="dxa" w:w="4873"/>
          </w:tcPr>
          <w:p>
            <w:r>
              <w:rPr>
                <w:sz w:val="19"/>
              </w:rPr>
              <w:t>En tant que</w:t>
            </w:r>
          </w:p>
        </w:tc>
        <w:tc>
          <w:tcPr>
            <w:tcW w:type="dxa" w:w="4873"/>
          </w:tcPr>
          <w:p>
            <w:r>
              <w:rPr>
                <w:color w:val="6C7A94"/>
                <w:sz w:val="19"/>
              </w:rPr>
              <w:t>[rôle précis]</w:t>
            </w:r>
          </w:p>
        </w:tc>
      </w:tr>
      <w:tr>
        <w:tc>
          <w:tcPr>
            <w:tcW w:type="dxa" w:w="4873"/>
          </w:tcPr>
          <w:p>
            <w:r>
              <w:rPr>
                <w:sz w:val="19"/>
              </w:rPr>
              <w:t>Je veux</w:t>
            </w:r>
          </w:p>
        </w:tc>
        <w:tc>
          <w:tcPr>
            <w:tcW w:type="dxa" w:w="4873"/>
          </w:tcPr>
          <w:p>
            <w:r>
              <w:rPr>
                <w:color w:val="6C7A94"/>
                <w:sz w:val="19"/>
              </w:rPr>
              <w:t>[le résultat cherché]</w:t>
            </w:r>
          </w:p>
        </w:tc>
      </w:tr>
      <w:tr>
        <w:tc>
          <w:tcPr>
            <w:tcW w:type="dxa" w:w="4873"/>
          </w:tcPr>
          <w:p>
            <w:r>
              <w:rPr>
                <w:sz w:val="19"/>
              </w:rPr>
              <w:t>Afin de</w:t>
            </w:r>
          </w:p>
        </w:tc>
        <w:tc>
          <w:tcPr>
            <w:tcW w:type="dxa" w:w="4873"/>
          </w:tcPr>
          <w:p>
            <w:r>
              <w:rPr>
                <w:color w:val="6C7A94"/>
                <w:sz w:val="19"/>
              </w:rPr>
              <w:t>[le bénéfice, du point de vue de la personne]</w:t>
            </w:r>
          </w:p>
        </w:tc>
      </w:tr>
    </w:tbl>
    <w:p/>
    <w:tbl>
      <w:tblPr>
        <w:tblW w:type="auto" w:w="0"/>
        <w:jc w:val="center"/>
        <w:tblLook w:firstColumn="1" w:firstRow="1" w:lastColumn="0" w:lastRow="0" w:noHBand="0" w:noVBand="1" w:val="04A0"/>
      </w:tblPr>
      <w:tblGrid>
        <w:gridCol w:w="9746"/>
      </w:tblGrid>
      <w:tr>
        <w:tc>
          <w:tcPr>
            <w:tcW w:type="dxa" w:w="9746"/>
            <w:shd w:val="clear" w:color="auto" w:fill="EEF3FF"/>
          </w:tcPr>
          <w:p>
            <w:r>
              <w:rPr>
                <w:b/>
                <w:color w:val="154CE4"/>
                <w:sz w:val="19"/>
              </w:rPr>
              <w:t>Exemple rempli · cas fictif Rondo</w:t>
            </w:r>
          </w:p>
          <w:p>
            <w:r>
              <w:rPr>
                <w:sz w:val="19"/>
              </w:rPr>
              <w:t>En tant que client fidèle, je veux retrouver ma commande habituelle en un geste, afin de commander avant de sortir de chez moi.</w:t>
            </w:r>
          </w:p>
        </w:tc>
      </w:tr>
    </w:tbl>
    <w:p/>
    <w:p>
      <w:pPr>
        <w:pStyle w:val="Heading2"/>
      </w:pPr>
      <w:r>
        <w:t>2. Les six questions à se poser avant de valider une story</w:t>
      </w:r>
    </w:p>
    <w:p>
      <w:r>
        <w:rPr>
          <w:b/>
          <w:sz w:val="19"/>
        </w:rPr>
        <w:t xml:space="preserve">Ce qu’on attend ici : </w:t>
      </w:r>
      <w:r>
        <w:rPr>
          <w:color w:val="6C7A94"/>
          <w:sz w:val="19"/>
        </w:rPr>
        <w:t>un repère de relecture. Une story qui échoue sur « estimable » ou sur « vérifiable » n’est pas une story, c’est un sujet à creuser.</w:t>
      </w:r>
    </w:p>
    <w:p>
      <w:r>
        <w:t>Les points à couvrir :</w:t>
      </w:r>
    </w:p>
    <w:p>
      <w:pPr>
        <w:pStyle w:val="ListBullet"/>
      </w:pPr>
      <w:r>
        <w:t>Est-elle indépendante des autres, autant que possible ?</w:t>
      </w:r>
    </w:p>
    <w:p>
      <w:pPr>
        <w:pStyle w:val="ListBullet"/>
      </w:pPr>
      <w:r>
        <w:t>Ses détails sont-ils encore négociables, ou avons-nous déjà figé la solution ?</w:t>
      </w:r>
    </w:p>
    <w:p>
      <w:pPr>
        <w:pStyle w:val="ListBullet"/>
      </w:pPr>
      <w:r>
        <w:t>Apporte-t-elle une valeur perceptible par quelqu’un ?</w:t>
      </w:r>
    </w:p>
    <w:p>
      <w:pPr>
        <w:pStyle w:val="ListBullet"/>
      </w:pPr>
      <w:r>
        <w:t>L’équipe sait-elle l’estimer ?</w:t>
      </w:r>
    </w:p>
    <w:p>
      <w:pPr>
        <w:pStyle w:val="ListBullet"/>
      </w:pPr>
      <w:r>
        <w:t>Tient-elle dans une itération ?</w:t>
      </w:r>
    </w:p>
    <w:p>
      <w:pPr>
        <w:pStyle w:val="ListBullet"/>
      </w:pPr>
      <w:r>
        <w:t>Sait-on comment la vérifier, précisément ?</w:t>
      </w:r>
    </w:p>
    <w:tbl>
      <w:tblPr>
        <w:tblW w:type="auto" w:w="0"/>
        <w:jc w:val="center"/>
        <w:tblLook w:firstColumn="1" w:firstRow="1" w:lastColumn="0" w:lastRow="0" w:noHBand="0" w:noVBand="1" w:val="04A0"/>
      </w:tblPr>
      <w:tblGrid>
        <w:gridCol w:w="9746"/>
      </w:tblGrid>
      <w:tr>
        <w:tc>
          <w:tcPr>
            <w:tcW w:type="dxa" w:w="9746"/>
            <w:shd w:val="clear" w:color="auto" w:fill="EEF3FF"/>
          </w:tcPr>
          <w:p>
            <w:r>
              <w:rPr>
                <w:b/>
                <w:color w:val="154CE4"/>
                <w:sz w:val="19"/>
              </w:rPr>
              <w:t>Exemple rempli · cas fictif Rondo</w:t>
            </w:r>
          </w:p>
          <w:p>
            <w:r>
              <w:rPr>
                <w:sz w:val="19"/>
              </w:rPr>
              <w:t>US-16 passe les six questions. Elle est indépendante du paiement, sa solution n’est pas figée (deux touches, rien n’impose quel écran), elle apporte une valeur immédiate au responsable de boutique, elle a été estimée à 8 points, elle tient dans une itération, et ses deux critères d’acceptation disent exactement comment la vérifier.</w:t>
            </w:r>
          </w:p>
        </w:tc>
      </w:tr>
    </w:tbl>
    <w:p/>
    <w:p>
      <w:pPr>
        <w:pStyle w:val="Heading2"/>
      </w:pPr>
      <w:r>
        <w:t>3. Les critères d’acceptation</w:t>
      </w:r>
    </w:p>
    <w:p>
      <w:r>
        <w:rPr>
          <w:b/>
          <w:sz w:val="19"/>
        </w:rPr>
        <w:t xml:space="preserve">Ce qu’on attend ici : </w:t>
      </w:r>
      <w:r>
        <w:rPr>
          <w:color w:val="6C7A94"/>
          <w:sz w:val="19"/>
        </w:rPr>
        <w:t>les conditions vérifiables qui permettent de dire que le travail est terminé. Ils se rédigent avant le développement, avec la personne qui vérifiera.</w:t>
      </w:r>
    </w:p>
    <w:p>
      <w:r>
        <w:t>Les points à couvrir :</w:t>
      </w:r>
    </w:p>
    <w:p>
      <w:pPr>
        <w:pStyle w:val="ListBullet"/>
      </w:pPr>
      <w:r>
        <w:t>Le cas nominal, celui que tout le monde a en tête.</w:t>
      </w:r>
    </w:p>
    <w:p>
      <w:pPr>
        <w:pStyle w:val="ListBullet"/>
      </w:pPr>
      <w:r>
        <w:t>Les cas limites : panier vide, créneau complet, boutique fermée, produit épuisé pendant la commande.</w:t>
      </w:r>
    </w:p>
    <w:p>
      <w:pPr>
        <w:pStyle w:val="ListBullet"/>
      </w:pPr>
      <w:r>
        <w:t>Les cas d’erreur : réseau coupé, paiement refusé, session expirée, application mise en arrière-plan pendant l’opération.</w:t>
      </w:r>
    </w:p>
    <w:p>
      <w:pPr>
        <w:pStyle w:val="ListBullet"/>
      </w:pPr>
      <w:r>
        <w:t>Les règles chiffrées : durée de validité d’un créneau, montant minimum, délai avant retrait.</w:t>
      </w:r>
    </w:p>
    <w:p>
      <w:pPr>
        <w:pStyle w:val="ListBullet"/>
      </w:pPr>
      <w:r>
        <w:t>Ce qui est explicitement hors sujet pour cette story, si la confusion est possible.</w:t>
      </w:r>
    </w:p>
    <w:tbl>
      <w:tblPr>
        <w:tblStyle w:val="TableGrid"/>
        <w:tblW w:type="auto" w:w="0"/>
        <w:tblLook w:firstColumn="1" w:firstRow="1" w:lastColumn="0" w:lastRow="0" w:noHBand="0" w:noVBand="1" w:val="04A0"/>
      </w:tblPr>
      <w:tblGrid>
        <w:gridCol w:w="4873"/>
        <w:gridCol w:w="4873"/>
      </w:tblGrid>
      <w:tr>
        <w:tc>
          <w:tcPr>
            <w:tcW w:type="dxa" w:w="4873"/>
            <w:shd w:val="clear" w:color="auto" w:fill="0A1C4A"/>
          </w:tcPr>
          <w:p>
            <w:r>
              <w:rPr>
                <w:b/>
                <w:color w:val="FFFFFF"/>
                <w:sz w:val="18"/>
              </w:rPr>
              <w:t>Élément</w:t>
            </w:r>
          </w:p>
        </w:tc>
        <w:tc>
          <w:tcPr>
            <w:tcW w:type="dxa" w:w="4873"/>
            <w:shd w:val="clear" w:color="auto" w:fill="0A1C4A"/>
          </w:tcPr>
          <w:p>
            <w:r>
              <w:rPr>
                <w:b/>
                <w:color w:val="FFFFFF"/>
                <w:sz w:val="18"/>
              </w:rPr>
              <w:t>À compléter</w:t>
            </w:r>
          </w:p>
        </w:tc>
      </w:tr>
      <w:tr>
        <w:tc>
          <w:tcPr>
            <w:tcW w:type="dxa" w:w="4873"/>
          </w:tcPr>
          <w:p>
            <w:r>
              <w:rPr>
                <w:sz w:val="19"/>
              </w:rPr>
              <w:t>Critère 1</w:t>
            </w:r>
          </w:p>
        </w:tc>
        <w:tc>
          <w:tcPr>
            <w:tcW w:type="dxa" w:w="4873"/>
          </w:tcPr>
          <w:p>
            <w:r>
              <w:rPr>
                <w:color w:val="6C7A94"/>
                <w:sz w:val="19"/>
              </w:rPr>
              <w:t>Étant donné [situation], lorsque [action], alors [résultat]</w:t>
            </w:r>
          </w:p>
        </w:tc>
      </w:tr>
      <w:tr>
        <w:tc>
          <w:tcPr>
            <w:tcW w:type="dxa" w:w="4873"/>
          </w:tcPr>
          <w:p>
            <w:r>
              <w:rPr>
                <w:sz w:val="19"/>
              </w:rPr>
              <w:t>Critère 2</w:t>
            </w:r>
          </w:p>
        </w:tc>
        <w:tc>
          <w:tcPr>
            <w:tcW w:type="dxa" w:w="4873"/>
          </w:tcPr>
          <w:p>
            <w:r>
              <w:rPr>
                <w:color w:val="6C7A94"/>
                <w:sz w:val="19"/>
              </w:rPr>
              <w:t>Étant donné [cas limite], lorsque [action], alors [résultat]</w:t>
            </w:r>
          </w:p>
        </w:tc>
      </w:tr>
      <w:tr>
        <w:tc>
          <w:tcPr>
            <w:tcW w:type="dxa" w:w="4873"/>
          </w:tcPr>
          <w:p>
            <w:r>
              <w:rPr>
                <w:sz w:val="19"/>
              </w:rPr>
              <w:t>Critère 3</w:t>
            </w:r>
          </w:p>
        </w:tc>
        <w:tc>
          <w:tcPr>
            <w:tcW w:type="dxa" w:w="4873"/>
          </w:tcPr>
          <w:p>
            <w:r>
              <w:rPr>
                <w:color w:val="6C7A94"/>
                <w:sz w:val="19"/>
              </w:rPr>
              <w:t>Étant donné [cas d’erreur], lorsque [action], alors [résultat]</w:t>
            </w:r>
          </w:p>
        </w:tc>
      </w:tr>
    </w:tbl>
    <w:p/>
    <w:tbl>
      <w:tblPr>
        <w:tblW w:type="auto" w:w="0"/>
        <w:jc w:val="center"/>
        <w:tblLook w:firstColumn="1" w:firstRow="1" w:lastColumn="0" w:lastRow="0" w:noHBand="0" w:noVBand="1" w:val="04A0"/>
      </w:tblPr>
      <w:tblGrid>
        <w:gridCol w:w="9746"/>
      </w:tblGrid>
      <w:tr>
        <w:tc>
          <w:tcPr>
            <w:tcW w:type="dxa" w:w="9746"/>
            <w:shd w:val="clear" w:color="auto" w:fill="EEF3FF"/>
          </w:tcPr>
          <w:p>
            <w:r>
              <w:rPr>
                <w:b/>
                <w:color w:val="154CE4"/>
                <w:sz w:val="19"/>
              </w:rPr>
              <w:t>Exemple rempli · cas fictif Rondo</w:t>
            </w:r>
          </w:p>
          <w:p>
            <w:r>
              <w:rPr>
                <w:sz w:val="19"/>
              </w:rPr>
              <w:t>Étant donné une boutique ouverte, lorsque je sélectionne un créneau de 15 minutes disponible, alors la commande est confirmée et le créneau est décompté.</w:t>
              <w:br/>
              <w:t>Étant donné un créneau devenu complet pendant ma saisie, lorsque je valide, alors l’application me propose les deux créneaux suivants sans perdre mon panier.</w:t>
            </w:r>
          </w:p>
        </w:tc>
      </w:tr>
    </w:tbl>
    <w:p/>
    <w:p>
      <w:pPr>
        <w:pStyle w:val="Heading2"/>
      </w:pPr>
      <w:r>
        <w:t>4. Découper une story trop grosse</w:t>
      </w:r>
    </w:p>
    <w:p>
      <w:r>
        <w:rPr>
          <w:b/>
          <w:sz w:val="19"/>
        </w:rPr>
        <w:t xml:space="preserve">Ce qu’on attend ici : </w:t>
      </w:r>
      <w:r>
        <w:rPr>
          <w:color w:val="6C7A94"/>
          <w:sz w:val="19"/>
        </w:rPr>
        <w:t>on découpe par parcours utilisateur ou par règle de gestion, jamais par couche technique. Trois morceaux nommés écran, interface et base de données ne livrent rien tant que les trois ne sont pas terminés.</w:t>
      </w:r>
    </w:p>
    <w:p>
      <w:r>
        <w:t>Les points à couvrir :</w:t>
      </w:r>
    </w:p>
    <w:p>
      <w:pPr>
        <w:pStyle w:val="ListBullet"/>
      </w:pPr>
      <w:r>
        <w:t>Par parcours : commander un produit unique, puis plusieurs, puis modifier une commande.</w:t>
      </w:r>
    </w:p>
    <w:p>
      <w:pPr>
        <w:pStyle w:val="ListBullet"/>
      </w:pPr>
      <w:r>
        <w:t>Par règle : le cas simple d’abord, les exceptions ensuite.</w:t>
      </w:r>
    </w:p>
    <w:p>
      <w:pPr>
        <w:pStyle w:val="ListBullet"/>
      </w:pPr>
      <w:r>
        <w:t>Par type d’utilisateur : le client, puis la boutique, puis le siège.</w:t>
      </w:r>
    </w:p>
    <w:p>
      <w:pPr>
        <w:pStyle w:val="ListBullet"/>
      </w:pPr>
      <w:r>
        <w:t>Par canal ou par appareil, quand le comportement diffère vraiment.</w:t>
      </w:r>
    </w:p>
    <w:tbl>
      <w:tblPr>
        <w:tblW w:type="auto" w:w="0"/>
        <w:jc w:val="center"/>
        <w:tblLook w:firstColumn="1" w:firstRow="1" w:lastColumn="0" w:lastRow="0" w:noHBand="0" w:noVBand="1" w:val="04A0"/>
      </w:tblPr>
      <w:tblGrid>
        <w:gridCol w:w="9746"/>
      </w:tblGrid>
      <w:tr>
        <w:tc>
          <w:tcPr>
            <w:tcW w:type="dxa" w:w="9746"/>
            <w:shd w:val="clear" w:color="auto" w:fill="EEF3FF"/>
          </w:tcPr>
          <w:p>
            <w:r>
              <w:rPr>
                <w:b/>
                <w:color w:val="154CE4"/>
                <w:sz w:val="19"/>
              </w:rPr>
              <w:t>Exemple rempli · cas fictif Rondo</w:t>
            </w:r>
          </w:p>
          <w:p>
            <w:r>
              <w:rPr>
                <w:sz w:val="19"/>
              </w:rPr>
              <w:t>« Gérer la fidélité » a été découpée en trois : voir son solde (US-11), cumuler des points au comptoir (US-12), utiliser ses points sur une commande (US-13). Chacune se livre et se vérifie séparément.</w:t>
            </w:r>
          </w:p>
        </w:tc>
      </w:tr>
    </w:tbl>
    <w:p/>
    <w:p>
      <w:pPr>
        <w:pStyle w:val="Heading2"/>
      </w:pPr>
      <w:r>
        <w:t>5. Le gabarit d’atelier</w:t>
      </w:r>
    </w:p>
    <w:p>
      <w:r>
        <w:rPr>
          <w:b/>
          <w:sz w:val="19"/>
        </w:rPr>
        <w:t xml:space="preserve">Ce qu’on attend ici : </w:t>
      </w:r>
      <w:r>
        <w:rPr>
          <w:color w:val="6C7A94"/>
          <w:sz w:val="19"/>
        </w:rPr>
        <w:t>à imprimer et à remplir à la main pendant la séance, puis à recopier dans le tableur. Une feuille par story.</w:t>
      </w:r>
    </w:p>
    <w:tbl>
      <w:tblPr>
        <w:tblStyle w:val="TableGrid"/>
        <w:tblW w:type="auto" w:w="0"/>
        <w:tblLook w:firstColumn="1" w:firstRow="1" w:lastColumn="0" w:lastRow="0" w:noHBand="0" w:noVBand="1" w:val="04A0"/>
      </w:tblPr>
      <w:tblGrid>
        <w:gridCol w:w="4873"/>
        <w:gridCol w:w="4873"/>
      </w:tblGrid>
      <w:tr>
        <w:tc>
          <w:tcPr>
            <w:tcW w:type="dxa" w:w="4873"/>
            <w:shd w:val="clear" w:color="auto" w:fill="0A1C4A"/>
          </w:tcPr>
          <w:p>
            <w:r>
              <w:rPr>
                <w:b/>
                <w:color w:val="FFFFFF"/>
                <w:sz w:val="18"/>
              </w:rPr>
              <w:t>Élément</w:t>
            </w:r>
          </w:p>
        </w:tc>
        <w:tc>
          <w:tcPr>
            <w:tcW w:type="dxa" w:w="4873"/>
            <w:shd w:val="clear" w:color="auto" w:fill="0A1C4A"/>
          </w:tcPr>
          <w:p>
            <w:r>
              <w:rPr>
                <w:b/>
                <w:color w:val="FFFFFF"/>
                <w:sz w:val="18"/>
              </w:rPr>
              <w:t>À compléter</w:t>
            </w:r>
          </w:p>
        </w:tc>
      </w:tr>
      <w:tr>
        <w:tc>
          <w:tcPr>
            <w:tcW w:type="dxa" w:w="4873"/>
          </w:tcPr>
          <w:p>
            <w:r>
              <w:rPr>
                <w:sz w:val="19"/>
              </w:rPr>
              <w:t>ID</w:t>
            </w:r>
          </w:p>
        </w:tc>
        <w:tc>
          <w:tcPr>
            <w:tcW w:type="dxa" w:w="4873"/>
          </w:tcPr>
          <w:p>
            <w:r>
              <w:rPr>
                <w:color w:val="6C7A94"/>
                <w:sz w:val="19"/>
              </w:rPr>
              <w:t>[US-__]</w:t>
            </w:r>
          </w:p>
        </w:tc>
      </w:tr>
      <w:tr>
        <w:tc>
          <w:tcPr>
            <w:tcW w:type="dxa" w:w="4873"/>
          </w:tcPr>
          <w:p>
            <w:r>
              <w:rPr>
                <w:sz w:val="19"/>
              </w:rPr>
              <w:t>En tant que</w:t>
            </w:r>
          </w:p>
        </w:tc>
        <w:tc>
          <w:tcPr>
            <w:tcW w:type="dxa" w:w="4873"/>
          </w:tcPr>
          <w:p>
            <w:r>
              <w:rPr>
                <w:color w:val="6C7A94"/>
                <w:sz w:val="19"/>
              </w:rPr>
              <w:t>[.]</w:t>
            </w:r>
          </w:p>
        </w:tc>
      </w:tr>
      <w:tr>
        <w:tc>
          <w:tcPr>
            <w:tcW w:type="dxa" w:w="4873"/>
          </w:tcPr>
          <w:p>
            <w:r>
              <w:rPr>
                <w:sz w:val="19"/>
              </w:rPr>
              <w:t>Je veux</w:t>
            </w:r>
          </w:p>
        </w:tc>
        <w:tc>
          <w:tcPr>
            <w:tcW w:type="dxa" w:w="4873"/>
          </w:tcPr>
          <w:p>
            <w:r>
              <w:rPr>
                <w:color w:val="6C7A94"/>
                <w:sz w:val="19"/>
              </w:rPr>
              <w:t>[.]</w:t>
            </w:r>
          </w:p>
        </w:tc>
      </w:tr>
      <w:tr>
        <w:tc>
          <w:tcPr>
            <w:tcW w:type="dxa" w:w="4873"/>
          </w:tcPr>
          <w:p>
            <w:r>
              <w:rPr>
                <w:sz w:val="19"/>
              </w:rPr>
              <w:t>Afin de</w:t>
            </w:r>
          </w:p>
        </w:tc>
        <w:tc>
          <w:tcPr>
            <w:tcW w:type="dxa" w:w="4873"/>
          </w:tcPr>
          <w:p>
            <w:r>
              <w:rPr>
                <w:color w:val="6C7A94"/>
                <w:sz w:val="19"/>
              </w:rPr>
              <w:t>[.]</w:t>
            </w:r>
          </w:p>
        </w:tc>
      </w:tr>
      <w:tr>
        <w:tc>
          <w:tcPr>
            <w:tcW w:type="dxa" w:w="4873"/>
          </w:tcPr>
          <w:p>
            <w:r>
              <w:rPr>
                <w:sz w:val="19"/>
              </w:rPr>
              <w:t>Écran ou zone</w:t>
            </w:r>
          </w:p>
        </w:tc>
        <w:tc>
          <w:tcPr>
            <w:tcW w:type="dxa" w:w="4873"/>
          </w:tcPr>
          <w:p>
            <w:r>
              <w:rPr>
                <w:color w:val="6C7A94"/>
                <w:sz w:val="19"/>
              </w:rPr>
              <w:t>[.]</w:t>
            </w:r>
          </w:p>
        </w:tc>
      </w:tr>
      <w:tr>
        <w:tc>
          <w:tcPr>
            <w:tcW w:type="dxa" w:w="4873"/>
          </w:tcPr>
          <w:p>
            <w:r>
              <w:rPr>
                <w:sz w:val="19"/>
              </w:rPr>
              <w:t>Critère 1 (nominal)</w:t>
            </w:r>
          </w:p>
        </w:tc>
        <w:tc>
          <w:tcPr>
            <w:tcW w:type="dxa" w:w="4873"/>
          </w:tcPr>
          <w:p>
            <w:r>
              <w:rPr>
                <w:color w:val="6C7A94"/>
                <w:sz w:val="19"/>
              </w:rPr>
              <w:t>Étant donné … lorsque … alors …</w:t>
            </w:r>
          </w:p>
        </w:tc>
      </w:tr>
      <w:tr>
        <w:tc>
          <w:tcPr>
            <w:tcW w:type="dxa" w:w="4873"/>
          </w:tcPr>
          <w:p>
            <w:r>
              <w:rPr>
                <w:sz w:val="19"/>
              </w:rPr>
              <w:t>Critère 2 (cas limite)</w:t>
            </w:r>
          </w:p>
        </w:tc>
        <w:tc>
          <w:tcPr>
            <w:tcW w:type="dxa" w:w="4873"/>
          </w:tcPr>
          <w:p>
            <w:r>
              <w:rPr>
                <w:color w:val="6C7A94"/>
                <w:sz w:val="19"/>
              </w:rPr>
              <w:t>Étant donné … lorsque … alors …</w:t>
            </w:r>
          </w:p>
        </w:tc>
      </w:tr>
      <w:tr>
        <w:tc>
          <w:tcPr>
            <w:tcW w:type="dxa" w:w="4873"/>
          </w:tcPr>
          <w:p>
            <w:r>
              <w:rPr>
                <w:sz w:val="19"/>
              </w:rPr>
              <w:t>Critère 3 (cas d’erreur)</w:t>
            </w:r>
          </w:p>
        </w:tc>
        <w:tc>
          <w:tcPr>
            <w:tcW w:type="dxa" w:w="4873"/>
          </w:tcPr>
          <w:p>
            <w:r>
              <w:rPr>
                <w:color w:val="6C7A94"/>
                <w:sz w:val="19"/>
              </w:rPr>
              <w:t>Étant donné … lorsque … alors …</w:t>
            </w:r>
          </w:p>
        </w:tc>
      </w:tr>
      <w:tr>
        <w:tc>
          <w:tcPr>
            <w:tcW w:type="dxa" w:w="4873"/>
          </w:tcPr>
          <w:p>
            <w:r>
              <w:rPr>
                <w:sz w:val="19"/>
              </w:rPr>
              <w:t>Hors sujet pour cette story</w:t>
            </w:r>
          </w:p>
        </w:tc>
        <w:tc>
          <w:tcPr>
            <w:tcW w:type="dxa" w:w="4873"/>
          </w:tcPr>
          <w:p>
            <w:r>
              <w:rPr>
                <w:color w:val="6C7A94"/>
                <w:sz w:val="19"/>
              </w:rPr>
              <w:t>[.]</w:t>
            </w:r>
          </w:p>
        </w:tc>
      </w:tr>
      <w:tr>
        <w:tc>
          <w:tcPr>
            <w:tcW w:type="dxa" w:w="4873"/>
          </w:tcPr>
          <w:p>
            <w:r>
              <w:rPr>
                <w:sz w:val="19"/>
              </w:rPr>
              <w:t>Priorité</w:t>
            </w:r>
          </w:p>
        </w:tc>
        <w:tc>
          <w:tcPr>
            <w:tcW w:type="dxa" w:w="4873"/>
          </w:tcPr>
          <w:p>
            <w:r>
              <w:rPr>
                <w:color w:val="6C7A94"/>
                <w:sz w:val="19"/>
              </w:rPr>
              <w:t>[Obligatoire / Souhaitable / Possible / Hors de ce lot]</w:t>
            </w:r>
          </w:p>
        </w:tc>
      </w:tr>
      <w:tr>
        <w:tc>
          <w:tcPr>
            <w:tcW w:type="dxa" w:w="4873"/>
          </w:tcPr>
          <w:p>
            <w:r>
              <w:rPr>
                <w:sz w:val="19"/>
              </w:rPr>
              <w:t>Estimation</w:t>
            </w:r>
          </w:p>
        </w:tc>
        <w:tc>
          <w:tcPr>
            <w:tcW w:type="dxa" w:w="4873"/>
          </w:tcPr>
          <w:p>
            <w:r>
              <w:rPr>
                <w:color w:val="6C7A94"/>
                <w:sz w:val="19"/>
              </w:rPr>
              <w:t>[.]</w:t>
            </w:r>
          </w:p>
        </w:tc>
      </w:tr>
    </w:tbl>
    <w:p/>
    <w:p>
      <w:r>
        <w:br w:type="page"/>
      </w:r>
    </w:p>
    <w:p>
      <w:pPr>
        <w:pStyle w:val="Heading1"/>
      </w:pPr>
      <w:r>
        <w:t>Annexe · dix stories rédigées (cas fictif Rondo)</w:t>
      </w:r>
    </w:p>
    <w:p>
      <w:r>
        <w:t>Cas d’école fictif. Rondo est une application inventée pour la démonstration : un réseau de 62 boulangeries indépendantes qui veut proposer la commande à l’avance et une carte de fidélité dématérialisée. Ce réseau n’existe pas, et les chiffres qui l’accompagnent illustrent une méthode de mesure, pas une référence de marché.</w:t>
      </w:r>
    </w:p>
    <w:tbl>
      <w:tblPr>
        <w:tblStyle w:val="TableGrid"/>
        <w:tblW w:type="auto" w:w="0"/>
        <w:tblLook w:firstColumn="1" w:firstRow="1" w:lastColumn="0" w:lastRow="0" w:noHBand="0" w:noVBand="1" w:val="04A0"/>
      </w:tblPr>
      <w:tblGrid>
        <w:gridCol w:w="4873"/>
        <w:gridCol w:w="4873"/>
      </w:tblGrid>
      <w:tr>
        <w:tc>
          <w:tcPr>
            <w:tcW w:type="dxa" w:w="4873"/>
            <w:shd w:val="clear" w:color="auto" w:fill="0A1C4A"/>
          </w:tcPr>
          <w:p>
            <w:r>
              <w:rPr>
                <w:b/>
                <w:color w:val="FFFFFF"/>
                <w:sz w:val="18"/>
              </w:rPr>
              <w:t>Section</w:t>
            </w:r>
          </w:p>
        </w:tc>
        <w:tc>
          <w:tcPr>
            <w:tcW w:type="dxa" w:w="4873"/>
            <w:shd w:val="clear" w:color="auto" w:fill="0A1C4A"/>
          </w:tcPr>
          <w:p>
            <w:r>
              <w:rPr>
                <w:b/>
                <w:color w:val="FFFFFF"/>
                <w:sz w:val="18"/>
              </w:rPr>
              <w:t>Contenu</w:t>
            </w:r>
          </w:p>
        </w:tc>
      </w:tr>
      <w:tr>
        <w:tc>
          <w:tcPr>
            <w:tcW w:type="dxa" w:w="4873"/>
          </w:tcPr>
          <w:p>
            <w:r>
              <w:rPr>
                <w:b/>
                <w:sz w:val="19"/>
              </w:rPr>
              <w:t>US-01 · Accueil</w:t>
            </w:r>
          </w:p>
        </w:tc>
        <w:tc>
          <w:tcPr>
            <w:tcW w:type="dxa" w:w="4873"/>
          </w:tcPr>
          <w:p>
            <w:r>
              <w:rPr>
                <w:sz w:val="19"/>
              </w:rPr>
              <w:t>En tant que visiteur, je veux voir le catalogue de la boutique la plus proche sans créer de compte, afin de juger si l’application m’intéresse avant de m’inscrire.</w:t>
              <w:br/>
              <w:t>Priorité : Obligatoire · estimation : 5</w:t>
              <w:br/>
              <w:t>Étant donné la localisation autorisée, lorsque j’ouvre l’application, alors la boutique la plus proche est proposée. Étant donné la localisation refusée, lorsque j’ouvre l’application, alors la liste des boutiques s’affiche par ville.</w:t>
            </w:r>
          </w:p>
        </w:tc>
      </w:tr>
      <w:tr>
        <w:tc>
          <w:tcPr>
            <w:tcW w:type="dxa" w:w="4873"/>
          </w:tcPr>
          <w:p>
            <w:r>
              <w:rPr>
                <w:b/>
                <w:sz w:val="19"/>
              </w:rPr>
              <w:t>US-02 · Inscription</w:t>
            </w:r>
          </w:p>
        </w:tc>
        <w:tc>
          <w:tcPr>
            <w:tcW w:type="dxa" w:w="4873"/>
          </w:tcPr>
          <w:p>
            <w:r>
              <w:rPr>
                <w:sz w:val="19"/>
              </w:rPr>
              <w:t>En tant que visiteur, je veux créer un compte avec mon numéro de téléphone, afin de ne pas avoir à retenir un mot de passe de plus.</w:t>
              <w:br/>
              <w:t>Priorité : Obligatoire · estimation : 8</w:t>
              <w:br/>
              <w:t>Étant donné un numéro valide, lorsque je demande un code, alors je le reçois en moins de 60 secondes. Étant donné trois codes erronés, lorsque j’essaie à nouveau, alors l’envoi est bloqué 15 minutes.</w:t>
            </w:r>
          </w:p>
        </w:tc>
      </w:tr>
      <w:tr>
        <w:tc>
          <w:tcPr>
            <w:tcW w:type="dxa" w:w="4873"/>
          </w:tcPr>
          <w:p>
            <w:r>
              <w:rPr>
                <w:b/>
                <w:sz w:val="19"/>
              </w:rPr>
              <w:t>US-03 · Catalogue</w:t>
            </w:r>
          </w:p>
        </w:tc>
        <w:tc>
          <w:tcPr>
            <w:tcW w:type="dxa" w:w="4873"/>
          </w:tcPr>
          <w:p>
            <w:r>
              <w:rPr>
                <w:sz w:val="19"/>
              </w:rPr>
              <w:t>En tant que client, je veux parcourir les produits par famille, afin de trouver ce que je veux sans lire toute la liste.</w:t>
              <w:br/>
              <w:t>Priorité : Obligatoire · estimation : 5</w:t>
              <w:br/>
              <w:t>Étant donné un catalogue de plus de 20 produits, lorsque j’ouvre la boutique, alors les familles sont affichées en premier. Étant donné une famille vide ce jour, lorsque je la consulte, alors elle est masquée.</w:t>
            </w:r>
          </w:p>
        </w:tc>
      </w:tr>
      <w:tr>
        <w:tc>
          <w:tcPr>
            <w:tcW w:type="dxa" w:w="4873"/>
          </w:tcPr>
          <w:p>
            <w:r>
              <w:rPr>
                <w:b/>
                <w:sz w:val="19"/>
              </w:rPr>
              <w:t>US-04 · Commande</w:t>
            </w:r>
          </w:p>
        </w:tc>
        <w:tc>
          <w:tcPr>
            <w:tcW w:type="dxa" w:w="4873"/>
          </w:tcPr>
          <w:p>
            <w:r>
              <w:rPr>
                <w:sz w:val="19"/>
              </w:rPr>
              <w:t>En tant que client pressé, je veux choisir un créneau de retrait, afin de arriver quand ma commande est prête.</w:t>
              <w:br/>
              <w:t>Priorité : Obligatoire · estimation : 8</w:t>
              <w:br/>
              <w:t>Étant donné une boutique ouverte, lorsque je sélectionne un créneau de 15 minutes disponible, alors la commande est confirmée et le créneau décompté. Étant donné un créneau devenu complet pendant ma saisie, lorsque je valide, alors les deux créneaux suivants sont proposés sans perdre mon panier.</w:t>
            </w:r>
          </w:p>
        </w:tc>
      </w:tr>
      <w:tr>
        <w:tc>
          <w:tcPr>
            <w:tcW w:type="dxa" w:w="4873"/>
          </w:tcPr>
          <w:p>
            <w:r>
              <w:rPr>
                <w:b/>
                <w:sz w:val="19"/>
              </w:rPr>
              <w:t>US-05 · Paiement</w:t>
            </w:r>
          </w:p>
        </w:tc>
        <w:tc>
          <w:tcPr>
            <w:tcW w:type="dxa" w:w="4873"/>
          </w:tcPr>
          <w:p>
            <w:r>
              <w:rPr>
                <w:sz w:val="19"/>
              </w:rPr>
              <w:t>En tant que client, je veux payer ma commande dans l’application, afin de ne pas faire la queue à la caisse en arrivant.</w:t>
              <w:br/>
              <w:t>Priorité : Obligatoire · estimation : 13</w:t>
              <w:br/>
              <w:t>Étant donné un moyen de paiement valide, lorsque je paie, alors je reçois une confirmation et un numéro de retrait. Étant donné un paiement refusé, lorsque je réessaie, alors mon panier et mon créneau sont conservés 10 minutes.</w:t>
            </w:r>
          </w:p>
        </w:tc>
      </w:tr>
      <w:tr>
        <w:tc>
          <w:tcPr>
            <w:tcW w:type="dxa" w:w="4873"/>
          </w:tcPr>
          <w:p>
            <w:r>
              <w:rPr>
                <w:b/>
                <w:sz w:val="19"/>
              </w:rPr>
              <w:t>US-06 · Commande</w:t>
            </w:r>
          </w:p>
        </w:tc>
        <w:tc>
          <w:tcPr>
            <w:tcW w:type="dxa" w:w="4873"/>
          </w:tcPr>
          <w:p>
            <w:r>
              <w:rPr>
                <w:sz w:val="19"/>
              </w:rPr>
              <w:t>En tant que client, je veux annuler ma commande avant l’heure de retrait, afin de ne pas payer ce que je ne viendrai pas chercher.</w:t>
              <w:br/>
              <w:t>Priorité : Obligatoire · estimation : 5</w:t>
              <w:br/>
              <w:t>Étant donné une commande payée et un créneau à plus de 30 minutes, lorsque j’annule, alors le remboursement est déclenché. Étant donné un créneau à moins de 30 minutes, lorsque je tente d’annuler, alors l’application indique que ce n’est plus possible et affiche le téléphone de la boutique.</w:t>
            </w:r>
          </w:p>
        </w:tc>
      </w:tr>
      <w:tr>
        <w:tc>
          <w:tcPr>
            <w:tcW w:type="dxa" w:w="4873"/>
          </w:tcPr>
          <w:p>
            <w:r>
              <w:rPr>
                <w:b/>
                <w:sz w:val="19"/>
              </w:rPr>
              <w:t>US-07 · Accueil</w:t>
            </w:r>
          </w:p>
        </w:tc>
        <w:tc>
          <w:tcPr>
            <w:tcW w:type="dxa" w:w="4873"/>
          </w:tcPr>
          <w:p>
            <w:r>
              <w:rPr>
                <w:sz w:val="19"/>
              </w:rPr>
              <w:t>En tant que client, je veux retrouver ma commande habituelle en un geste, afin de commander en moins de trente secondes.</w:t>
              <w:br/>
              <w:t>Priorité : Souhaitable · estimation : 8</w:t>
              <w:br/>
              <w:t>Étant donné au moins trois commandes passées à la même boutique, lorsque j’ouvre l’accueil, alors ma commande la plus fréquente est proposée avec son montant. Étant donné un produit devenu indisponible, lorsque je reprends cette commande, alors il est signalé et retiré avant paiement.</w:t>
            </w:r>
          </w:p>
        </w:tc>
      </w:tr>
      <w:tr>
        <w:tc>
          <w:tcPr>
            <w:tcW w:type="dxa" w:w="4873"/>
          </w:tcPr>
          <w:p>
            <w:r>
              <w:rPr>
                <w:b/>
                <w:sz w:val="19"/>
              </w:rPr>
              <w:t>US-08 · Notifications</w:t>
            </w:r>
          </w:p>
        </w:tc>
        <w:tc>
          <w:tcPr>
            <w:tcW w:type="dxa" w:w="4873"/>
          </w:tcPr>
          <w:p>
            <w:r>
              <w:rPr>
                <w:sz w:val="19"/>
              </w:rPr>
              <w:t>En tant que client, je veux recevoir une notification quand ma commande est prête, afin de ne pas attendre sur place.</w:t>
              <w:br/>
              <w:t>Priorité : Souhaitable · estimation : 5</w:t>
              <w:br/>
              <w:t>Étant donné les notifications autorisées, lorsque la boutique marque la commande prête, alors je reçois la notification en moins de 30 secondes. Étant donné les notifications refusées, lorsque je consulte l’application, alors le statut est visible sur l’accueil.</w:t>
            </w:r>
          </w:p>
        </w:tc>
      </w:tr>
      <w:tr>
        <w:tc>
          <w:tcPr>
            <w:tcW w:type="dxa" w:w="4873"/>
          </w:tcPr>
          <w:p>
            <w:r>
              <w:rPr>
                <w:b/>
                <w:sz w:val="19"/>
              </w:rPr>
              <w:t>US-09 · Commande</w:t>
            </w:r>
          </w:p>
        </w:tc>
        <w:tc>
          <w:tcPr>
            <w:tcW w:type="dxa" w:w="4873"/>
          </w:tcPr>
          <w:p>
            <w:r>
              <w:rPr>
                <w:sz w:val="19"/>
              </w:rPr>
              <w:t>En tant que client, je veux ajouter une consigne à ma commande, afin de préciser une découpe ou une cuisson.</w:t>
              <w:br/>
              <w:t>Priorité : Possible · estimation : 3</w:t>
              <w:br/>
              <w:t>Étant donné un produit acceptant une consigne, lorsque j’en saisis une de moins de 140 signes, alors elle apparaît sur le bon de préparation.</w:t>
            </w:r>
          </w:p>
        </w:tc>
      </w:tr>
      <w:tr>
        <w:tc>
          <w:tcPr>
            <w:tcW w:type="dxa" w:w="4873"/>
          </w:tcPr>
          <w:p>
            <w:r>
              <w:rPr>
                <w:b/>
                <w:sz w:val="19"/>
              </w:rPr>
              <w:t>US-10 · Boutique</w:t>
            </w:r>
          </w:p>
        </w:tc>
        <w:tc>
          <w:tcPr>
            <w:tcW w:type="dxa" w:w="4873"/>
          </w:tcPr>
          <w:p>
            <w:r>
              <w:rPr>
                <w:sz w:val="19"/>
              </w:rPr>
              <w:t>En tant que client, je veux consulter les horaires et le téléphone de la boutique, afin de savoir si elle est ouverte avant de me déplacer.</w:t>
              <w:br/>
              <w:t>Priorité : Obligatoire · estimation : 3</w:t>
              <w:br/>
              <w:t>Étant donné une boutique fermée au moment de la consultation, lorsque j’ouvre sa fiche, alors l’heure de réouverture est affichée.</w:t>
            </w:r>
          </w:p>
        </w:tc>
      </w:tr>
    </w:tbl>
    <w:sectPr w:rsidR="00FC693F" w:rsidRPr="0006063C" w:rsidSect="00034616">
      <w:footerReference w:type="default" r:id="rId9"/>
      <w:pgSz w:w="12240" w:h="15840"/>
      <w:pgMar w:top="1247"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C7A94"/>
        <w:sz w:val="16"/>
      </w:rPr>
      <w:t>agenceapplicationmobile.fr · modèle libre d’usage, y compris pour un projet commercial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E2A4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A1C4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54CE4"/>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A1C4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