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54CE4"/>
          <w:sz w:val="16"/>
        </w:rPr>
        <w:t>AGENCEAPPLICATIONMOBILE.FR</w:t>
      </w:r>
    </w:p>
    <w:p>
      <w:pPr>
        <w:pStyle w:val="Heading1"/>
      </w:pPr>
      <w:r>
        <w:t>Note de cadrage de projet</w:t>
      </w:r>
    </w:p>
    <w:p>
      <w:r>
        <w:rPr>
          <w:color w:val="6C7A94"/>
          <w:sz w:val="23"/>
        </w:rPr>
        <w:t>Le document qui décide ce qu’on fait, avant le cahier des charges</w:t>
      </w:r>
    </w:p>
    <w:p>
      <w:r>
        <w:t>Deux à quatre pages, rédigées avant toute conception, qui fixent le problème à résoudre, les objectifs chiffrés, le périmètre retenu et ce qui en est exclu. Ce modèle couvre huit sections. Chacune porte une consigne de remplissage, les points à couvrir, une zone à compléter et un exemple rempli.</w:t>
      </w:r>
    </w:p>
    <w:tbl>
      <w:tblPr>
        <w:tblW w:type="auto" w:w="0"/>
        <w:jc w:val="center"/>
        <w:tblLook w:firstColumn="1" w:firstRow="1" w:lastColumn="0" w:lastRow="0" w:noHBand="0" w:noVBand="1" w:val="04A0"/>
      </w:tblPr>
      <w:tblGrid>
        <w:gridCol w:w="9746"/>
      </w:tblGrid>
      <w:tr>
        <w:tc>
          <w:tcPr>
            <w:tcW w:type="dxa" w:w="9746"/>
            <w:shd w:val="clear" w:color="auto" w:fill="F4F6FB"/>
          </w:tcPr>
          <w:p>
            <w:r>
              <w:rPr>
                <w:b/>
                <w:color w:val="154CE4"/>
                <w:sz w:val="19"/>
              </w:rPr>
              <w:t>Mode d’emploi</w:t>
            </w:r>
          </w:p>
          <w:p>
            <w:r>
              <w:rPr>
                <w:sz w:val="19"/>
              </w:rPr>
              <w:t>Remplissez les zones entre crochets, supprimez les consignes en italique et les encadrés d’exemple, gardez votre texte. Comptez 90 minutes d’atelier à trois ou quatre personnes, puis une heure de mise au propre. Numérotez la version : ce document évolue, et une modification sans trace devient un désaccord.</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Le cas d’école</w:t>
            </w:r>
          </w:p>
          <w:p>
            <w:r>
              <w:rPr>
                <w:sz w:val="19"/>
              </w:rP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c>
      </w:tr>
    </w:tbl>
    <w:p/>
    <w:p/>
    <w:p>
      <w:pPr>
        <w:pStyle w:val="Heading2"/>
      </w:pPr>
      <w:r>
        <w:t>1. Identification</w:t>
      </w:r>
    </w:p>
    <w:p>
      <w:r>
        <w:rPr>
          <w:b/>
          <w:sz w:val="19"/>
        </w:rPr>
        <w:t xml:space="preserve">Ce qu’on attend ici : </w:t>
      </w:r>
      <w:r>
        <w:rPr>
          <w:color w:val="6C7A94"/>
          <w:sz w:val="19"/>
        </w:rPr>
        <w:t>l’état civil du document, pour qu’on sache toujours de quelle version on parle.</w:t>
      </w:r>
    </w:p>
    <w:p>
      <w:r>
        <w:t>Les points à couvrir :</w:t>
      </w:r>
    </w:p>
    <w:p>
      <w:pPr>
        <w:pStyle w:val="ListBullet"/>
      </w:pPr>
      <w:r>
        <w:t>Le nom du projet, court et stable dans le temps.</w:t>
      </w:r>
    </w:p>
    <w:p>
      <w:pPr>
        <w:pStyle w:val="ListBullet"/>
      </w:pPr>
      <w:r>
        <w:t>Le commanditaire (qui porte le besoin et le budget) et le sponsor (qui arbitre).</w:t>
      </w:r>
    </w:p>
    <w:p>
      <w:pPr>
        <w:pStyle w:val="ListBullet"/>
      </w:pPr>
      <w:r>
        <w:t>Le rédacteur, la date, le numéro de version.</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Nom du projet</w:t>
            </w:r>
          </w:p>
        </w:tc>
        <w:tc>
          <w:tcPr>
            <w:tcW w:type="dxa" w:w="4873"/>
          </w:tcPr>
          <w:p>
            <w:r>
              <w:rPr>
                <w:color w:val="6C7A94"/>
                <w:sz w:val="19"/>
              </w:rPr>
              <w:t>[à compléter]</w:t>
            </w:r>
          </w:p>
        </w:tc>
      </w:tr>
      <w:tr>
        <w:tc>
          <w:tcPr>
            <w:tcW w:type="dxa" w:w="4873"/>
          </w:tcPr>
          <w:p>
            <w:r>
              <w:rPr>
                <w:sz w:val="19"/>
              </w:rPr>
              <w:t>Commanditaire</w:t>
            </w:r>
          </w:p>
        </w:tc>
        <w:tc>
          <w:tcPr>
            <w:tcW w:type="dxa" w:w="4873"/>
          </w:tcPr>
          <w:p>
            <w:r>
              <w:rPr>
                <w:color w:val="6C7A94"/>
                <w:sz w:val="19"/>
              </w:rPr>
              <w:t>[nom, fonction]</w:t>
            </w:r>
          </w:p>
        </w:tc>
      </w:tr>
      <w:tr>
        <w:tc>
          <w:tcPr>
            <w:tcW w:type="dxa" w:w="4873"/>
          </w:tcPr>
          <w:p>
            <w:r>
              <w:rPr>
                <w:sz w:val="19"/>
              </w:rPr>
              <w:t>Sponsor</w:t>
            </w:r>
          </w:p>
        </w:tc>
        <w:tc>
          <w:tcPr>
            <w:tcW w:type="dxa" w:w="4873"/>
          </w:tcPr>
          <w:p>
            <w:r>
              <w:rPr>
                <w:color w:val="6C7A94"/>
                <w:sz w:val="19"/>
              </w:rPr>
              <w:t>[nom, fonction]</w:t>
            </w:r>
          </w:p>
        </w:tc>
      </w:tr>
      <w:tr>
        <w:tc>
          <w:tcPr>
            <w:tcW w:type="dxa" w:w="4873"/>
          </w:tcPr>
          <w:p>
            <w:r>
              <w:rPr>
                <w:sz w:val="19"/>
              </w:rPr>
              <w:t>Rédacteur</w:t>
            </w:r>
          </w:p>
        </w:tc>
        <w:tc>
          <w:tcPr>
            <w:tcW w:type="dxa" w:w="4873"/>
          </w:tcPr>
          <w:p>
            <w:r>
              <w:rPr>
                <w:color w:val="6C7A94"/>
                <w:sz w:val="19"/>
              </w:rPr>
              <w:t>[nom]</w:t>
            </w:r>
          </w:p>
        </w:tc>
      </w:tr>
      <w:tr>
        <w:tc>
          <w:tcPr>
            <w:tcW w:type="dxa" w:w="4873"/>
          </w:tcPr>
          <w:p>
            <w:r>
              <w:rPr>
                <w:sz w:val="19"/>
              </w:rPr>
              <w:t>Date et version</w:t>
            </w:r>
          </w:p>
        </w:tc>
        <w:tc>
          <w:tcPr>
            <w:tcW w:type="dxa" w:w="4873"/>
          </w:tcPr>
          <w:p>
            <w:r>
              <w:rPr>
                <w:color w:val="6C7A94"/>
                <w:sz w:val="19"/>
              </w:rPr>
              <w:t>[JJ/MM/AAAA] · version [1.0]</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Projet Rondo. Commanditaire : responsable du réseau. Sponsor : direction générale. Rédigé le 12 mars, version 1.2.</w:t>
            </w:r>
          </w:p>
        </w:tc>
      </w:tr>
    </w:tbl>
    <w:p/>
    <w:p>
      <w:pPr>
        <w:pStyle w:val="Heading2"/>
      </w:pPr>
      <w:r>
        <w:t>2. Contexte et problème mesuré</w:t>
      </w:r>
    </w:p>
    <w:p>
      <w:r>
        <w:rPr>
          <w:b/>
          <w:sz w:val="19"/>
        </w:rPr>
        <w:t xml:space="preserve">Ce qu’on attend ici : </w:t>
      </w:r>
      <w:r>
        <w:rPr>
          <w:color w:val="6C7A94"/>
          <w:sz w:val="19"/>
        </w:rPr>
        <w:t>la situation actuelle, avec au moins un chiffre issu de vos propres données. Un chiffre transforme une impression en problème.</w:t>
      </w:r>
    </w:p>
    <w:p>
      <w:r>
        <w:t>Les points à couvrir :</w:t>
      </w:r>
    </w:p>
    <w:p>
      <w:pPr>
        <w:pStyle w:val="ListBullet"/>
      </w:pPr>
      <w:r>
        <w:t>Comment les choses se passent aujourd’hui, étape par étape.</w:t>
      </w:r>
    </w:p>
    <w:p>
      <w:pPr>
        <w:pStyle w:val="ListBullet"/>
      </w:pPr>
      <w:r>
        <w:t>Ce qui coince, avec un ordre de grandeur mesuré et la façon dont il a été obtenu.</w:t>
      </w:r>
    </w:p>
    <w:p>
      <w:pPr>
        <w:pStyle w:val="ListBullet"/>
      </w:pPr>
      <w:r>
        <w:t>Depuis quand, et ce qui a changé récemment.</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Situation actuelle</w:t>
            </w:r>
          </w:p>
        </w:tc>
        <w:tc>
          <w:tcPr>
            <w:tcW w:type="dxa" w:w="4873"/>
          </w:tcPr>
          <w:p>
            <w:r>
              <w:rPr>
                <w:color w:val="6C7A94"/>
                <w:sz w:val="19"/>
              </w:rPr>
              <w:t>[à compléter]</w:t>
            </w:r>
          </w:p>
        </w:tc>
      </w:tr>
      <w:tr>
        <w:tc>
          <w:tcPr>
            <w:tcW w:type="dxa" w:w="4873"/>
          </w:tcPr>
          <w:p>
            <w:r>
              <w:rPr>
                <w:sz w:val="19"/>
              </w:rPr>
              <w:t>Difficulté constatée</w:t>
            </w:r>
          </w:p>
        </w:tc>
        <w:tc>
          <w:tcPr>
            <w:tcW w:type="dxa" w:w="4873"/>
          </w:tcPr>
          <w:p>
            <w:r>
              <w:rPr>
                <w:color w:val="6C7A94"/>
                <w:sz w:val="19"/>
              </w:rPr>
              <w:t>[à compléter, avec au moins un chiffre]</w:t>
            </w:r>
          </w:p>
        </w:tc>
      </w:tr>
      <w:tr>
        <w:tc>
          <w:tcPr>
            <w:tcW w:type="dxa" w:w="4873"/>
          </w:tcPr>
          <w:p>
            <w:r>
              <w:rPr>
                <w:sz w:val="19"/>
              </w:rPr>
              <w:t>Source du chiffre</w:t>
            </w:r>
          </w:p>
        </w:tc>
        <w:tc>
          <w:tcPr>
            <w:tcW w:type="dxa" w:w="4873"/>
          </w:tcPr>
          <w:p>
            <w:r>
              <w:rPr>
                <w:color w:val="6C7A94"/>
                <w:sz w:val="19"/>
              </w:rPr>
              <w:t>[relevé, extraction, comptage : préciser]</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Entre 7 h 30 et 9 h, le temps d’attente moyen relevé sur quatre matinées dans quatre boutiques dépasse 11 minutes. Un client sur cinq quitte la file sans acheter (comptage manuel sur les mêmes matinées). La carte de fidélité papier n’est présentée que dans 12 % des passages (rapport de caisse mensuel).</w:t>
            </w:r>
          </w:p>
        </w:tc>
      </w:tr>
    </w:tbl>
    <w:p/>
    <w:p>
      <w:pPr>
        <w:pStyle w:val="Heading2"/>
      </w:pPr>
      <w:r>
        <w:t>3. Objectifs</w:t>
      </w:r>
    </w:p>
    <w:p>
      <w:r>
        <w:rPr>
          <w:b/>
          <w:sz w:val="19"/>
        </w:rPr>
        <w:t xml:space="preserve">Ce qu’on attend ici : </w:t>
      </w:r>
      <w:r>
        <w:rPr>
          <w:color w:val="6C7A94"/>
          <w:sz w:val="19"/>
        </w:rPr>
        <w:t>trois à cinq objectifs, jamais douze. Chacun porte une valeur cible, une échéance et le mode de mesure. Un objectif qu’on ne sait pas mesurer est une intention, pas un objectif.</w:t>
      </w:r>
    </w:p>
    <w:p>
      <w:r>
        <w:t>Les points à couvrir :</w:t>
      </w:r>
    </w:p>
    <w:p>
      <w:pPr>
        <w:pStyle w:val="ListBullet"/>
      </w:pPr>
      <w:r>
        <w:t>La valeur visée, chiffrée.</w:t>
      </w:r>
    </w:p>
    <w:p>
      <w:pPr>
        <w:pStyle w:val="ListBullet"/>
      </w:pPr>
      <w:r>
        <w:t>L’échéance à laquelle on la mesure.</w:t>
      </w:r>
    </w:p>
    <w:p>
      <w:pPr>
        <w:pStyle w:val="ListBullet"/>
      </w:pPr>
      <w:r>
        <w:t>La source du chiffre : où sera-t-il lu, par qui.</w:t>
      </w:r>
    </w:p>
    <w:p>
      <w:pPr>
        <w:pStyle w:val="ListBullet"/>
      </w:pPr>
      <w:r>
        <w:t>La valeur de départ, pour pouvoir comparer.</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Objectif 1</w:t>
            </w:r>
          </w:p>
        </w:tc>
        <w:tc>
          <w:tcPr>
            <w:tcW w:type="dxa" w:w="4873"/>
          </w:tcPr>
          <w:p>
            <w:r>
              <w:rPr>
                <w:color w:val="6C7A94"/>
                <w:sz w:val="19"/>
              </w:rPr>
              <w:t>[verbe] [cible chiffrée] d’ici [échéance]. Mesure : [source]</w:t>
            </w:r>
          </w:p>
        </w:tc>
      </w:tr>
      <w:tr>
        <w:tc>
          <w:tcPr>
            <w:tcW w:type="dxa" w:w="4873"/>
          </w:tcPr>
          <w:p>
            <w:r>
              <w:rPr>
                <w:sz w:val="19"/>
              </w:rPr>
              <w:t>Objectif 2</w:t>
            </w:r>
          </w:p>
        </w:tc>
        <w:tc>
          <w:tcPr>
            <w:tcW w:type="dxa" w:w="4873"/>
          </w:tcPr>
          <w:p>
            <w:r>
              <w:rPr>
                <w:color w:val="6C7A94"/>
                <w:sz w:val="19"/>
              </w:rPr>
              <w:t>[à compléter]</w:t>
            </w:r>
          </w:p>
        </w:tc>
      </w:tr>
      <w:tr>
        <w:tc>
          <w:tcPr>
            <w:tcW w:type="dxa" w:w="4873"/>
          </w:tcPr>
          <w:p>
            <w:r>
              <w:rPr>
                <w:sz w:val="19"/>
              </w:rPr>
              <w:t>Objectif 3</w:t>
            </w:r>
          </w:p>
        </w:tc>
        <w:tc>
          <w:tcPr>
            <w:tcW w:type="dxa" w:w="4873"/>
          </w:tcPr>
          <w:p>
            <w:r>
              <w:rPr>
                <w:color w:val="6C7A94"/>
                <w:sz w:val="19"/>
              </w:rPr>
              <w:t>[à compléter]</w:t>
            </w:r>
          </w:p>
        </w:tc>
      </w:tr>
      <w:tr>
        <w:tc>
          <w:tcPr>
            <w:tcW w:type="dxa" w:w="4873"/>
          </w:tcPr>
          <w:p>
            <w:r>
              <w:rPr>
                <w:sz w:val="19"/>
              </w:rPr>
              <w:t>Objectif 4 (facultatif)</w:t>
            </w:r>
          </w:p>
        </w:tc>
        <w:tc>
          <w:tcPr>
            <w:tcW w:type="dxa" w:w="4873"/>
          </w:tcPr>
          <w:p>
            <w:r>
              <w:rPr>
                <w:color w:val="6C7A94"/>
                <w:sz w:val="19"/>
              </w:rPr>
              <w:t>[à compléter]</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1. Faire passer 15 % des ventes du matin par la commande à l’avance dans les six mois. Mesure : part des tickets marqués « commande app » dans la caisse, départ 0 %.</w:t>
              <w:br/>
              <w:t>2. Porter le taux de présentation de la fidélité de 12 % à 40 % en neuf mois. Mesure : rapport mensuel de la caisse.</w:t>
              <w:br/>
              <w:t>3. Constituer 20 000 comptes clients actifs en douze mois. Mesure : comptes ayant ouvert l’application au moins une fois sur 30 jours.</w:t>
            </w:r>
          </w:p>
        </w:tc>
      </w:tr>
    </w:tbl>
    <w:p/>
    <w:p>
      <w:pPr>
        <w:pStyle w:val="Heading2"/>
      </w:pPr>
      <w:r>
        <w:t>4. Périmètre et hors périmètre</w:t>
      </w:r>
    </w:p>
    <w:p>
      <w:r>
        <w:rPr>
          <w:b/>
          <w:sz w:val="19"/>
        </w:rPr>
        <w:t xml:space="preserve">Ce qu’on attend ici : </w:t>
      </w:r>
      <w:r>
        <w:rPr>
          <w:color w:val="6C7A94"/>
          <w:sz w:val="19"/>
        </w:rPr>
        <w:t>la colonne de droite vaut la colonne de gauche. C’est le hors périmètre que vous sortirez du tiroir quand une direction demandera un module au troisième mois.</w:t>
      </w:r>
    </w:p>
    <w:p>
      <w:r>
        <w:t>Les points à couvrir :</w:t>
      </w:r>
    </w:p>
    <w:p>
      <w:pPr>
        <w:pStyle w:val="ListBullet"/>
      </w:pPr>
      <w:r>
        <w:t>Ce que le projet couvre, en fonctions, pas en écrans.</w:t>
      </w:r>
    </w:p>
    <w:p>
      <w:pPr>
        <w:pStyle w:val="ListBullet"/>
      </w:pPr>
      <w:r>
        <w:t>Ce qu’il ne couvre pas, explicitement, avec la mention « pas dans cette version ».</w:t>
      </w:r>
    </w:p>
    <w:p>
      <w:pPr>
        <w:pStyle w:val="ListBullet"/>
      </w:pPr>
      <w:r>
        <w:t>Les zones grises identifiées, à trancher avant la consultation.</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Dans le périmètre</w:t>
            </w:r>
          </w:p>
        </w:tc>
        <w:tc>
          <w:tcPr>
            <w:tcW w:type="dxa" w:w="4873"/>
          </w:tcPr>
          <w:p>
            <w:r>
              <w:rPr>
                <w:color w:val="6C7A94"/>
                <w:sz w:val="19"/>
              </w:rPr>
              <w:t>[à compléter]</w:t>
            </w:r>
          </w:p>
        </w:tc>
      </w:tr>
      <w:tr>
        <w:tc>
          <w:tcPr>
            <w:tcW w:type="dxa" w:w="4873"/>
          </w:tcPr>
          <w:p>
            <w:r>
              <w:rPr>
                <w:sz w:val="19"/>
              </w:rPr>
              <w:t>Hors périmètre de cette version</w:t>
            </w:r>
          </w:p>
        </w:tc>
        <w:tc>
          <w:tcPr>
            <w:tcW w:type="dxa" w:w="4873"/>
          </w:tcPr>
          <w:p>
            <w:r>
              <w:rPr>
                <w:color w:val="6C7A94"/>
                <w:sz w:val="19"/>
              </w:rPr>
              <w:t>[à compléter]</w:t>
            </w:r>
          </w:p>
        </w:tc>
      </w:tr>
      <w:tr>
        <w:tc>
          <w:tcPr>
            <w:tcW w:type="dxa" w:w="4873"/>
          </w:tcPr>
          <w:p>
            <w:r>
              <w:rPr>
                <w:sz w:val="19"/>
              </w:rPr>
              <w:t>À trancher avant consultation</w:t>
            </w:r>
          </w:p>
        </w:tc>
        <w:tc>
          <w:tcPr>
            <w:tcW w:type="dxa" w:w="4873"/>
          </w:tcPr>
          <w:p>
            <w:r>
              <w:rPr>
                <w:color w:val="6C7A94"/>
                <w:sz w:val="19"/>
              </w:rPr>
              <w:t>[à compléter]</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Dans le périmètre : catalogue par boutique, commande à l’avance avec créneau de retrait, paiement en ligne, fidélité à points, notifications de retrait, back-office boutique.</w:t>
              <w:br/>
              <w:t>Hors périmètre de cette version : livraison à domicile, abonnement mensuel, personnalisation des produits, parrainage, version tablette pour le comptoir, langues autres que le français.</w:t>
            </w:r>
          </w:p>
        </w:tc>
      </w:tr>
    </w:tbl>
    <w:p/>
    <w:p>
      <w:pPr>
        <w:pStyle w:val="Heading2"/>
      </w:pPr>
      <w:r>
        <w:t>5. Parties prenantes et rôles</w:t>
      </w:r>
    </w:p>
    <w:p>
      <w:r>
        <w:rPr>
          <w:b/>
          <w:sz w:val="19"/>
        </w:rPr>
        <w:t xml:space="preserve">Ce qu’on attend ici : </w:t>
      </w:r>
      <w:r>
        <w:rPr>
          <w:color w:val="6C7A94"/>
          <w:sz w:val="19"/>
        </w:rPr>
        <w:t>qui décide, qui produit, qui est consulté, qui est informé. Le point qui bloque le plus souvent un projet n’est pas technique : c’est l’absence d’un décideur unique sur les arbitrages de périmètre.</w:t>
      </w:r>
    </w:p>
    <w:p>
      <w:r>
        <w:t>Les points à couvrir :</w:t>
      </w:r>
    </w:p>
    <w:p>
      <w:pPr>
        <w:pStyle w:val="ListBullet"/>
      </w:pPr>
      <w:r>
        <w:t>Un décideur unique nommé pour les arbitrages de périmètre.</w:t>
      </w:r>
    </w:p>
    <w:p>
      <w:pPr>
        <w:pStyle w:val="ListBullet"/>
      </w:pPr>
      <w:r>
        <w:t>Les personnes qui produisent la matière (contenus, données, validations).</w:t>
      </w:r>
    </w:p>
    <w:p>
      <w:pPr>
        <w:pStyle w:val="ListBullet"/>
      </w:pPr>
      <w:r>
        <w:t>Les personnes consultées et celles simplement informées.</w:t>
      </w:r>
    </w:p>
    <w:p>
      <w:pPr>
        <w:pStyle w:val="ListBullet"/>
      </w:pPr>
      <w:r>
        <w:t>Les utilisateurs finaux, et qui parle pour eux.</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Décide</w:t>
            </w:r>
          </w:p>
        </w:tc>
        <w:tc>
          <w:tcPr>
            <w:tcW w:type="dxa" w:w="4873"/>
          </w:tcPr>
          <w:p>
            <w:r>
              <w:rPr>
                <w:color w:val="6C7A94"/>
                <w:sz w:val="19"/>
              </w:rPr>
              <w:t>[nom, fonction]</w:t>
            </w:r>
          </w:p>
        </w:tc>
      </w:tr>
      <w:tr>
        <w:tc>
          <w:tcPr>
            <w:tcW w:type="dxa" w:w="4873"/>
          </w:tcPr>
          <w:p>
            <w:r>
              <w:rPr>
                <w:sz w:val="19"/>
              </w:rPr>
              <w:t>Produit</w:t>
            </w:r>
          </w:p>
        </w:tc>
        <w:tc>
          <w:tcPr>
            <w:tcW w:type="dxa" w:w="4873"/>
          </w:tcPr>
          <w:p>
            <w:r>
              <w:rPr>
                <w:color w:val="6C7A94"/>
                <w:sz w:val="19"/>
              </w:rPr>
              <w:t>[noms]</w:t>
            </w:r>
          </w:p>
        </w:tc>
      </w:tr>
      <w:tr>
        <w:tc>
          <w:tcPr>
            <w:tcW w:type="dxa" w:w="4873"/>
          </w:tcPr>
          <w:p>
            <w:r>
              <w:rPr>
                <w:sz w:val="19"/>
              </w:rPr>
              <w:t>Est consulté</w:t>
            </w:r>
          </w:p>
        </w:tc>
        <w:tc>
          <w:tcPr>
            <w:tcW w:type="dxa" w:w="4873"/>
          </w:tcPr>
          <w:p>
            <w:r>
              <w:rPr>
                <w:color w:val="6C7A94"/>
                <w:sz w:val="19"/>
              </w:rPr>
              <w:t>[noms]</w:t>
            </w:r>
          </w:p>
        </w:tc>
      </w:tr>
      <w:tr>
        <w:tc>
          <w:tcPr>
            <w:tcW w:type="dxa" w:w="4873"/>
          </w:tcPr>
          <w:p>
            <w:r>
              <w:rPr>
                <w:sz w:val="19"/>
              </w:rPr>
              <w:t>Est informé</w:t>
            </w:r>
          </w:p>
        </w:tc>
        <w:tc>
          <w:tcPr>
            <w:tcW w:type="dxa" w:w="4873"/>
          </w:tcPr>
          <w:p>
            <w:r>
              <w:rPr>
                <w:color w:val="6C7A94"/>
                <w:sz w:val="19"/>
              </w:rPr>
              <w:t>[noms]</w:t>
            </w:r>
          </w:p>
        </w:tc>
      </w:tr>
      <w:tr>
        <w:tc>
          <w:tcPr>
            <w:tcW w:type="dxa" w:w="4873"/>
          </w:tcPr>
          <w:p>
            <w:r>
              <w:rPr>
                <w:sz w:val="19"/>
              </w:rPr>
              <w:t>Parle pour les utilisateurs</w:t>
            </w:r>
          </w:p>
        </w:tc>
        <w:tc>
          <w:tcPr>
            <w:tcW w:type="dxa" w:w="4873"/>
          </w:tcPr>
          <w:p>
            <w:r>
              <w:rPr>
                <w:color w:val="6C7A94"/>
                <w:sz w:val="19"/>
              </w:rPr>
              <w:t>[nom, et sur quelles observations]</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Décide : le responsable du réseau, seul, sur les arbitrages de périmètre. Produit : deux référents boutique volontaires et le service comptable. Consultés : les six boulangers pilotes. Informés : les 56 autres boutiques, par un point mensuel. Parle pour les clients : le référent de la boutique de la place du Marché, sur la base des comptages de mars.</w:t>
            </w:r>
          </w:p>
        </w:tc>
      </w:tr>
    </w:tbl>
    <w:p/>
    <w:p>
      <w:pPr>
        <w:pStyle w:val="Heading2"/>
      </w:pPr>
      <w:r>
        <w:t>6. Contraintes</w:t>
      </w:r>
    </w:p>
    <w:p>
      <w:r>
        <w:rPr>
          <w:b/>
          <w:sz w:val="19"/>
        </w:rPr>
        <w:t xml:space="preserve">Ce qu’on attend ici : </w:t>
      </w:r>
      <w:r>
        <w:rPr>
          <w:color w:val="6C7A94"/>
          <w:sz w:val="19"/>
        </w:rPr>
        <w:t>une contrainte non écrite devient un imprévu, et un imprévu se paye en avenant.</w:t>
      </w:r>
    </w:p>
    <w:p>
      <w:r>
        <w:t>Les points à couvrir :</w:t>
      </w:r>
    </w:p>
    <w:p>
      <w:pPr>
        <w:pStyle w:val="ListBullet"/>
      </w:pPr>
      <w:r>
        <w:t>Budget : une enveloppe plafond suffit à ce stade, pas un détail poste par poste.</w:t>
      </w:r>
    </w:p>
    <w:p>
      <w:pPr>
        <w:pStyle w:val="ListBullet"/>
      </w:pPr>
      <w:r>
        <w:t>Délai : la date butoir réelle, et ce qui la rend réelle.</w:t>
      </w:r>
    </w:p>
    <w:p>
      <w:pPr>
        <w:pStyle w:val="ListBullet"/>
      </w:pPr>
      <w:r>
        <w:t>Technique : systèmes en place, interfaces disponibles, données à reprendre.</w:t>
      </w:r>
    </w:p>
    <w:p>
      <w:pPr>
        <w:pStyle w:val="ListBullet"/>
      </w:pPr>
      <w:r>
        <w:t>Mobile : versions minimales d’iOS et d’Android, comptes de publication, matériel de test.</w:t>
      </w:r>
    </w:p>
    <w:p>
      <w:pPr>
        <w:pStyle w:val="ListBullet"/>
      </w:pPr>
      <w:r>
        <w:t>Réglementaire et contractuel : obligations, contrats en cours, saisonnalité.</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Budget plafond</w:t>
            </w:r>
          </w:p>
        </w:tc>
        <w:tc>
          <w:tcPr>
            <w:tcW w:type="dxa" w:w="4873"/>
          </w:tcPr>
          <w:p>
            <w:r>
              <w:rPr>
                <w:color w:val="6C7A94"/>
                <w:sz w:val="19"/>
              </w:rPr>
              <w:t>[à compléter]</w:t>
            </w:r>
          </w:p>
        </w:tc>
      </w:tr>
      <w:tr>
        <w:tc>
          <w:tcPr>
            <w:tcW w:type="dxa" w:w="4873"/>
          </w:tcPr>
          <w:p>
            <w:r>
              <w:rPr>
                <w:sz w:val="19"/>
              </w:rPr>
              <w:t>Échéance et motif</w:t>
            </w:r>
          </w:p>
        </w:tc>
        <w:tc>
          <w:tcPr>
            <w:tcW w:type="dxa" w:w="4873"/>
          </w:tcPr>
          <w:p>
            <w:r>
              <w:rPr>
                <w:color w:val="6C7A94"/>
                <w:sz w:val="19"/>
              </w:rPr>
              <w:t>[à compléter]</w:t>
            </w:r>
          </w:p>
        </w:tc>
      </w:tr>
      <w:tr>
        <w:tc>
          <w:tcPr>
            <w:tcW w:type="dxa" w:w="4873"/>
          </w:tcPr>
          <w:p>
            <w:r>
              <w:rPr>
                <w:sz w:val="19"/>
              </w:rPr>
              <w:t>Contraintes techniques</w:t>
            </w:r>
          </w:p>
        </w:tc>
        <w:tc>
          <w:tcPr>
            <w:tcW w:type="dxa" w:w="4873"/>
          </w:tcPr>
          <w:p>
            <w:r>
              <w:rPr>
                <w:color w:val="6C7A94"/>
                <w:sz w:val="19"/>
              </w:rPr>
              <w:t>[à compléter]</w:t>
            </w:r>
          </w:p>
        </w:tc>
      </w:tr>
      <w:tr>
        <w:tc>
          <w:tcPr>
            <w:tcW w:type="dxa" w:w="4873"/>
          </w:tcPr>
          <w:p>
            <w:r>
              <w:rPr>
                <w:sz w:val="19"/>
              </w:rPr>
              <w:t>Contraintes mobiles</w:t>
            </w:r>
          </w:p>
        </w:tc>
        <w:tc>
          <w:tcPr>
            <w:tcW w:type="dxa" w:w="4873"/>
          </w:tcPr>
          <w:p>
            <w:r>
              <w:rPr>
                <w:color w:val="6C7A94"/>
                <w:sz w:val="19"/>
              </w:rPr>
              <w:t>[versions minimales, comptes, appareils de test]</w:t>
            </w:r>
          </w:p>
        </w:tc>
      </w:tr>
      <w:tr>
        <w:tc>
          <w:tcPr>
            <w:tcW w:type="dxa" w:w="4873"/>
          </w:tcPr>
          <w:p>
            <w:r>
              <w:rPr>
                <w:sz w:val="19"/>
              </w:rPr>
              <w:t>Contraintes réglementaires</w:t>
            </w:r>
          </w:p>
        </w:tc>
        <w:tc>
          <w:tcPr>
            <w:tcW w:type="dxa" w:w="4873"/>
          </w:tcPr>
          <w:p>
            <w:r>
              <w:rPr>
                <w:color w:val="6C7A94"/>
                <w:sz w:val="19"/>
              </w:rPr>
              <w:t>[à compléter]</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Enveloppe plafond arrêtée en interne, non communiquée aux prestataires avant réception des devis. Mise en service avant la rentrée de septembre, qui concentre le plus fort trafic. iOS 16 et Android 10 au minimum. La caisse expose une interface de lecture du catalogue, pas d’écriture. Comptes de publication à ouvrir au nom de la société, pas au nom d’une personne.</w:t>
            </w:r>
          </w:p>
        </w:tc>
      </w:tr>
    </w:tbl>
    <w:p/>
    <w:p>
      <w:pPr>
        <w:pStyle w:val="Heading2"/>
      </w:pPr>
      <w:r>
        <w:t>7. Risques et parades</w:t>
      </w:r>
    </w:p>
    <w:p>
      <w:r>
        <w:rPr>
          <w:b/>
          <w:sz w:val="19"/>
        </w:rPr>
        <w:t xml:space="preserve">Ce qu’on attend ici : </w:t>
      </w:r>
      <w:r>
        <w:rPr>
          <w:color w:val="6C7A94"/>
          <w:sz w:val="19"/>
        </w:rPr>
        <w:t>quatre à six lignes suffisent. Un risque sans porteur nommé n’est pas suivi.</w:t>
      </w:r>
    </w:p>
    <w:p>
      <w:r>
        <w:t>Les points à couvrir :</w:t>
      </w:r>
    </w:p>
    <w:p>
      <w:pPr>
        <w:pStyle w:val="ListBullet"/>
      </w:pPr>
      <w:r>
        <w:t>Le risque, formulé comme un événement possible, pas comme une crainte.</w:t>
      </w:r>
    </w:p>
    <w:p>
      <w:pPr>
        <w:pStyle w:val="ListBullet"/>
      </w:pPr>
      <w:r>
        <w:t>Sa probabilité et son impact, même sur une échelle à trois niveaux.</w:t>
      </w:r>
    </w:p>
    <w:p>
      <w:pPr>
        <w:pStyle w:val="ListBullet"/>
      </w:pPr>
      <w:r>
        <w:t>La parade : ce qu’on fait pour le réduire, et qui s’en occupe.</w:t>
      </w:r>
    </w:p>
    <w:p>
      <w:pPr>
        <w:pStyle w:val="ListBullet"/>
      </w:pPr>
      <w:r>
        <w:t>Le signal qui indiquera que le risque se réalise.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Risque 1</w:t>
            </w:r>
          </w:p>
        </w:tc>
        <w:tc>
          <w:tcPr>
            <w:tcW w:type="dxa" w:w="4873"/>
          </w:tcPr>
          <w:p>
            <w:r>
              <w:rPr>
                <w:color w:val="6C7A94"/>
                <w:sz w:val="19"/>
              </w:rPr>
              <w:t>[événement] · probabilité [faible/moyenne/forte] · impact [.]</w:t>
            </w:r>
          </w:p>
        </w:tc>
      </w:tr>
      <w:tr>
        <w:tc>
          <w:tcPr>
            <w:tcW w:type="dxa" w:w="4873"/>
          </w:tcPr>
          <w:p>
            <w:r>
              <w:rPr>
                <w:sz w:val="19"/>
              </w:rPr>
              <w:t>Parade 1</w:t>
            </w:r>
          </w:p>
        </w:tc>
        <w:tc>
          <w:tcPr>
            <w:tcW w:type="dxa" w:w="4873"/>
          </w:tcPr>
          <w:p>
            <w:r>
              <w:rPr>
                <w:color w:val="6C7A94"/>
                <w:sz w:val="19"/>
              </w:rPr>
              <w:t>[action] · porteur [nom]</w:t>
            </w:r>
          </w:p>
        </w:tc>
      </w:tr>
      <w:tr>
        <w:tc>
          <w:tcPr>
            <w:tcW w:type="dxa" w:w="4873"/>
          </w:tcPr>
          <w:p>
            <w:r>
              <w:rPr>
                <w:sz w:val="19"/>
              </w:rPr>
              <w:t>Risque 2</w:t>
            </w:r>
          </w:p>
        </w:tc>
        <w:tc>
          <w:tcPr>
            <w:tcW w:type="dxa" w:w="4873"/>
          </w:tcPr>
          <w:p>
            <w:r>
              <w:rPr>
                <w:color w:val="6C7A94"/>
                <w:sz w:val="19"/>
              </w:rPr>
              <w:t>[à compléter]</w:t>
            </w:r>
          </w:p>
        </w:tc>
      </w:tr>
      <w:tr>
        <w:tc>
          <w:tcPr>
            <w:tcW w:type="dxa" w:w="4873"/>
          </w:tcPr>
          <w:p>
            <w:r>
              <w:rPr>
                <w:sz w:val="19"/>
              </w:rPr>
              <w:t>Parade 2</w:t>
            </w:r>
          </w:p>
        </w:tc>
        <w:tc>
          <w:tcPr>
            <w:tcW w:type="dxa" w:w="4873"/>
          </w:tcPr>
          <w:p>
            <w:r>
              <w:rPr>
                <w:color w:val="6C7A94"/>
                <w:sz w:val="19"/>
              </w:rPr>
              <w:t>[à compléter]</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Risque : les boulangers indépendants n’adhèrent pas et ne mettent pas leur catalogue à jour. Probabilité forte, impact fort. Parade : six boutiques pilotes volontaires, un référent nommé dans chacune, généralisation seulement après trois mois de fonctionnement. Porteur : le responsable du réseau. Signal d’alerte : plus de deux catalogues non mis à jour pendant une semaine.</w:t>
            </w:r>
          </w:p>
        </w:tc>
      </w:tr>
    </w:tbl>
    <w:p/>
    <w:p>
      <w:pPr>
        <w:pStyle w:val="Heading2"/>
      </w:pPr>
      <w:r>
        <w:t>8. Jalons et livrables</w:t>
      </w:r>
    </w:p>
    <w:p>
      <w:r>
        <w:rPr>
          <w:b/>
          <w:sz w:val="19"/>
        </w:rPr>
        <w:t xml:space="preserve">Ce qu’on attend ici : </w:t>
      </w:r>
      <w:r>
        <w:rPr>
          <w:color w:val="6C7A94"/>
          <w:sz w:val="19"/>
        </w:rPr>
        <w:t>cinq à huit jalons, pas un planning détaillé. À chaque jalon, ce qui doit exister pour qu’on puisse dire qu’il est franchi.</w:t>
      </w:r>
    </w:p>
    <w:p>
      <w:r>
        <w:t>Les points à couvrir :</w:t>
      </w:r>
    </w:p>
    <w:p>
      <w:pPr>
        <w:pStyle w:val="ListBullet"/>
      </w:pPr>
      <w:r>
        <w:t>Le jalon, nommé par son livrable et non par une activité.</w:t>
      </w:r>
    </w:p>
    <w:p>
      <w:pPr>
        <w:pStyle w:val="ListBullet"/>
      </w:pPr>
      <w:r>
        <w:t>La date visée, à la semaine ou au mois.</w:t>
      </w:r>
    </w:p>
    <w:p>
      <w:pPr>
        <w:pStyle w:val="ListBullet"/>
      </w:pPr>
      <w:r>
        <w:t>Qui valide le franchissement.</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Jalon 1</w:t>
            </w:r>
          </w:p>
        </w:tc>
        <w:tc>
          <w:tcPr>
            <w:tcW w:type="dxa" w:w="4873"/>
          </w:tcPr>
          <w:p>
            <w:r>
              <w:rPr>
                <w:color w:val="6C7A94"/>
                <w:sz w:val="19"/>
              </w:rPr>
              <w:t>[livrable] · [date] · validé par [nom]</w:t>
            </w:r>
          </w:p>
        </w:tc>
      </w:tr>
      <w:tr>
        <w:tc>
          <w:tcPr>
            <w:tcW w:type="dxa" w:w="4873"/>
          </w:tcPr>
          <w:p>
            <w:r>
              <w:rPr>
                <w:sz w:val="19"/>
              </w:rPr>
              <w:t>Jalon 2</w:t>
            </w:r>
          </w:p>
        </w:tc>
        <w:tc>
          <w:tcPr>
            <w:tcW w:type="dxa" w:w="4873"/>
          </w:tcPr>
          <w:p>
            <w:r>
              <w:rPr>
                <w:color w:val="6C7A94"/>
                <w:sz w:val="19"/>
              </w:rPr>
              <w:t>[à compléter]</w:t>
            </w:r>
          </w:p>
        </w:tc>
      </w:tr>
      <w:tr>
        <w:tc>
          <w:tcPr>
            <w:tcW w:type="dxa" w:w="4873"/>
          </w:tcPr>
          <w:p>
            <w:r>
              <w:rPr>
                <w:sz w:val="19"/>
              </w:rPr>
              <w:t>Jalon 3</w:t>
            </w:r>
          </w:p>
        </w:tc>
        <w:tc>
          <w:tcPr>
            <w:tcW w:type="dxa" w:w="4873"/>
          </w:tcPr>
          <w:p>
            <w:r>
              <w:rPr>
                <w:color w:val="6C7A94"/>
                <w:sz w:val="19"/>
              </w:rPr>
              <w:t>[à compléter]</w:t>
            </w:r>
          </w:p>
        </w:tc>
      </w:tr>
      <w:tr>
        <w:tc>
          <w:tcPr>
            <w:tcW w:type="dxa" w:w="4873"/>
          </w:tcPr>
          <w:p>
            <w:r>
              <w:rPr>
                <w:sz w:val="19"/>
              </w:rPr>
              <w:t>Jalon 4</w:t>
            </w:r>
          </w:p>
        </w:tc>
        <w:tc>
          <w:tcPr>
            <w:tcW w:type="dxa" w:w="4873"/>
          </w:tcPr>
          <w:p>
            <w:r>
              <w:rPr>
                <w:color w:val="6C7A94"/>
                <w:sz w:val="19"/>
              </w:rPr>
              <w:t>[à compléter]</w:t>
            </w:r>
          </w:p>
        </w:tc>
      </w:tr>
      <w:tr>
        <w:tc>
          <w:tcPr>
            <w:tcW w:type="dxa" w:w="4873"/>
          </w:tcPr>
          <w:p>
            <w:r>
              <w:rPr>
                <w:sz w:val="19"/>
              </w:rPr>
              <w:t>Jalon 5</w:t>
            </w:r>
          </w:p>
        </w:tc>
        <w:tc>
          <w:tcPr>
            <w:tcW w:type="dxa" w:w="4873"/>
          </w:tcPr>
          <w:p>
            <w:r>
              <w:rPr>
                <w:color w:val="6C7A94"/>
                <w:sz w:val="19"/>
              </w:rPr>
              <w:t>[à compléter]</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1. Note de cadrage validée. 2. Cahier des charges signé. 3. Prestataire choisi, après comparaison de trois devis sur le même périmètre. 4. Maquettes validées par les six pilotes. 5. Version pilote en service sur six boutiques. 6. Ouverture au réseau, sous réserve des indicateurs du pilote.</w:t>
            </w:r>
          </w:p>
        </w:tc>
      </w:tr>
    </w:tbl>
    <w:p/>
    <w:p>
      <w:r>
        <w:br w:type="page"/>
      </w:r>
    </w:p>
    <w:p>
      <w:pPr>
        <w:pStyle w:val="Heading1"/>
      </w:pPr>
      <w:r>
        <w:t>Annexe · la note de cadrage remplie (cas fictif Rondo)</w:t>
      </w:r>
    </w:p>
    <w:p>
      <w: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Section</w:t>
            </w:r>
          </w:p>
        </w:tc>
        <w:tc>
          <w:tcPr>
            <w:tcW w:type="dxa" w:w="4873"/>
            <w:shd w:val="clear" w:color="auto" w:fill="0A1C4A"/>
          </w:tcPr>
          <w:p>
            <w:r>
              <w:rPr>
                <w:b/>
                <w:color w:val="FFFFFF"/>
                <w:sz w:val="18"/>
              </w:rPr>
              <w:t>Contenu</w:t>
            </w:r>
          </w:p>
        </w:tc>
      </w:tr>
      <w:tr>
        <w:tc>
          <w:tcPr>
            <w:tcW w:type="dxa" w:w="4873"/>
          </w:tcPr>
          <w:p>
            <w:r>
              <w:rPr>
                <w:b/>
                <w:sz w:val="19"/>
              </w:rPr>
              <w:t>Identification</w:t>
            </w:r>
          </w:p>
        </w:tc>
        <w:tc>
          <w:tcPr>
            <w:tcW w:type="dxa" w:w="4873"/>
          </w:tcPr>
          <w:p>
            <w:r>
              <w:rPr>
                <w:sz w:val="19"/>
              </w:rPr>
              <w:t>Projet Rondo. Commanditaire : responsable du réseau. Sponsor : direction générale. Rédigée le 12 mars, version 1.2.</w:t>
            </w:r>
          </w:p>
        </w:tc>
      </w:tr>
      <w:tr>
        <w:tc>
          <w:tcPr>
            <w:tcW w:type="dxa" w:w="4873"/>
          </w:tcPr>
          <w:p>
            <w:r>
              <w:rPr>
                <w:b/>
                <w:sz w:val="19"/>
              </w:rPr>
              <w:t>Contexte et problème mesuré</w:t>
            </w:r>
          </w:p>
        </w:tc>
        <w:tc>
          <w:tcPr>
            <w:tcW w:type="dxa" w:w="4873"/>
          </w:tcPr>
          <w:p>
            <w:r>
              <w:rPr>
                <w:sz w:val="19"/>
              </w:rPr>
              <w:t>62 boulangeries indépendantes sous une même enseigne. Le client entre, fait la queue, choisit au comptoir, paie et repart. Entre 7 h 30 et 9 h, la file dépasse la porte : 11 minutes d’attente moyenne relevées sur quatre matinées dans quatre boutiques, un client sur cinq repart sans acheter. Les commandes téléphoniques sont notées à la main et deux à trois se perdent par semaine et par boutique. La fidélité papier est présentée dans 12 % des passages.</w:t>
            </w:r>
          </w:p>
        </w:tc>
      </w:tr>
      <w:tr>
        <w:tc>
          <w:tcPr>
            <w:tcW w:type="dxa" w:w="4873"/>
          </w:tcPr>
          <w:p>
            <w:r>
              <w:rPr>
                <w:b/>
                <w:sz w:val="19"/>
              </w:rPr>
              <w:t>Objectifs</w:t>
            </w:r>
          </w:p>
        </w:tc>
        <w:tc>
          <w:tcPr>
            <w:tcW w:type="dxa" w:w="4873"/>
          </w:tcPr>
          <w:p>
            <w:r>
              <w:rPr>
                <w:sz w:val="19"/>
              </w:rPr>
              <w:t>1. 15 % des ventes du matin par commande à l’avance à six mois (mesure : caisse, départ 0 %). 2. Fidélité présentée dans 40 % des passages à neuf mois (mesure : rapport de caisse, départ 12 %). 3. 20 000 comptes actifs à douze mois (mesure : ouverture de l’application sur 30 jours glissants).</w:t>
            </w:r>
          </w:p>
        </w:tc>
      </w:tr>
      <w:tr>
        <w:tc>
          <w:tcPr>
            <w:tcW w:type="dxa" w:w="4873"/>
          </w:tcPr>
          <w:p>
            <w:r>
              <w:rPr>
                <w:b/>
                <w:sz w:val="19"/>
              </w:rPr>
              <w:t>Périmètre</w:t>
            </w:r>
          </w:p>
        </w:tc>
        <w:tc>
          <w:tcPr>
            <w:tcW w:type="dxa" w:w="4873"/>
          </w:tcPr>
          <w:p>
            <w:r>
              <w:rPr>
                <w:sz w:val="19"/>
              </w:rPr>
              <w:t>Catalogue par boutique, commande à l’avance avec créneau, paiement en ligne, fidélité à points, notification de retrait, back-office boutique.</w:t>
            </w:r>
          </w:p>
        </w:tc>
      </w:tr>
      <w:tr>
        <w:tc>
          <w:tcPr>
            <w:tcW w:type="dxa" w:w="4873"/>
          </w:tcPr>
          <w:p>
            <w:r>
              <w:rPr>
                <w:b/>
                <w:sz w:val="19"/>
              </w:rPr>
              <w:t>Hors périmètre</w:t>
            </w:r>
          </w:p>
        </w:tc>
        <w:tc>
          <w:tcPr>
            <w:tcW w:type="dxa" w:w="4873"/>
          </w:tcPr>
          <w:p>
            <w:r>
              <w:rPr>
                <w:sz w:val="19"/>
              </w:rPr>
              <w:t>Livraison à domicile, abonnement, personnalisation des produits, parrainage, version tablette de comptoir, langues autres que le français. Ces sujets seront revus au comité de janvier.</w:t>
            </w:r>
          </w:p>
        </w:tc>
      </w:tr>
      <w:tr>
        <w:tc>
          <w:tcPr>
            <w:tcW w:type="dxa" w:w="4873"/>
          </w:tcPr>
          <w:p>
            <w:r>
              <w:rPr>
                <w:b/>
                <w:sz w:val="19"/>
              </w:rPr>
              <w:t>Parties prenantes</w:t>
            </w:r>
          </w:p>
        </w:tc>
        <w:tc>
          <w:tcPr>
            <w:tcW w:type="dxa" w:w="4873"/>
          </w:tcPr>
          <w:p>
            <w:r>
              <w:rPr>
                <w:sz w:val="19"/>
              </w:rPr>
              <w:t>Décide : responsable du réseau. Produit : deux référents boutique et le service comptable. Consultés : six boulangers pilotes. Informés : les 56 autres boutiques.</w:t>
            </w:r>
          </w:p>
        </w:tc>
      </w:tr>
      <w:tr>
        <w:tc>
          <w:tcPr>
            <w:tcW w:type="dxa" w:w="4873"/>
          </w:tcPr>
          <w:p>
            <w:r>
              <w:rPr>
                <w:b/>
                <w:sz w:val="19"/>
              </w:rPr>
              <w:t>Contraintes</w:t>
            </w:r>
          </w:p>
        </w:tc>
        <w:tc>
          <w:tcPr>
            <w:tcW w:type="dxa" w:w="4873"/>
          </w:tcPr>
          <w:p>
            <w:r>
              <w:rPr>
                <w:sz w:val="19"/>
              </w:rPr>
              <w:t>Enveloppe plafond interne, non communiquée avant réception des devis. Mise en service avant la rentrée de septembre. iOS 16 et Android 10 minimum. Caisse en lecture seule sur le catalogue. Comptes de publication au nom de la société.</w:t>
            </w:r>
          </w:p>
        </w:tc>
      </w:tr>
      <w:tr>
        <w:tc>
          <w:tcPr>
            <w:tcW w:type="dxa" w:w="4873"/>
          </w:tcPr>
          <w:p>
            <w:r>
              <w:rPr>
                <w:b/>
                <w:sz w:val="19"/>
              </w:rPr>
              <w:t>Risques</w:t>
            </w:r>
          </w:p>
        </w:tc>
        <w:tc>
          <w:tcPr>
            <w:tcW w:type="dxa" w:w="4873"/>
          </w:tcPr>
          <w:p>
            <w:r>
              <w:rPr>
                <w:sz w:val="19"/>
              </w:rPr>
              <w:t>Adhésion des boulangers (forte, fort) : six pilotes volontaires avec un référent nommé. Rupture de stock non répercutée (moyenne, fort) : écran boutique en deux touches, classé obligatoire. Saisonnalité (moyenne, moyen) : mise en service calée avant septembre.</w:t>
            </w:r>
          </w:p>
        </w:tc>
      </w:tr>
      <w:tr>
        <w:tc>
          <w:tcPr>
            <w:tcW w:type="dxa" w:w="4873"/>
          </w:tcPr>
          <w:p>
            <w:r>
              <w:rPr>
                <w:b/>
                <w:sz w:val="19"/>
              </w:rPr>
              <w:t>Jalons</w:t>
            </w:r>
          </w:p>
        </w:tc>
        <w:tc>
          <w:tcPr>
            <w:tcW w:type="dxa" w:w="4873"/>
          </w:tcPr>
          <w:p>
            <w:r>
              <w:rPr>
                <w:sz w:val="19"/>
              </w:rPr>
              <w:t>Cadrage validé · cahier des charges signé · prestataire choisi · maquettes validées · pilote sur six boutiques · ouverture au réseau.</w:t>
            </w:r>
          </w:p>
        </w:tc>
      </w:tr>
    </w:tbl>
    <w:sectPr w:rsidR="00FC693F" w:rsidRPr="0006063C" w:rsidSect="00034616">
      <w:footerReference w:type="default" r:id="rId9"/>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A94"/>
        <w:sz w:val="16"/>
      </w:rPr>
      <w:t>agenceapplicationmobile.fr · modèle libre d’usage, y compris pour un projet commercial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1E2A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A1C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54CE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0A1C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