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54CE4"/>
          <w:sz w:val="16"/>
        </w:rPr>
        <w:t>AGENCEAPPLICATIONMOBILE.FR</w:t>
      </w:r>
    </w:p>
    <w:p>
      <w:pPr>
        <w:pStyle w:val="Heading1"/>
      </w:pPr>
      <w:r>
        <w:t>Note de roadmap produit</w:t>
      </w:r>
    </w:p>
    <w:p>
      <w:r>
        <w:rPr>
          <w:color w:val="6C7A94"/>
          <w:sz w:val="23"/>
        </w:rPr>
        <w:t>Ce qu’on présente en comité, en deux pages</w:t>
      </w:r>
    </w:p>
    <w:p>
      <w:r>
        <w:t>Le tableur sert à travailler, cette note sert à décider. Deux pages, trois horizons, une mesure de succès par ligne, et la liste des arbitrages demandés. C’est le document qu’on envoie avant la réunion, pas celui qu’on projette pendant.</w:t>
      </w:r>
    </w:p>
    <w:tbl>
      <w:tblPr>
        <w:tblW w:type="auto" w:w="0"/>
        <w:jc w:val="center"/>
        <w:tblLook w:firstColumn="1" w:firstRow="1" w:lastColumn="0" w:lastRow="0" w:noHBand="0" w:noVBand="1" w:val="04A0"/>
      </w:tblPr>
      <w:tblGrid>
        <w:gridCol w:w="9746"/>
      </w:tblGrid>
      <w:tr>
        <w:tc>
          <w:tcPr>
            <w:tcW w:type="dxa" w:w="9746"/>
            <w:shd w:val="clear" w:color="auto" w:fill="F4F6FB"/>
          </w:tcPr>
          <w:p>
            <w:r>
              <w:rPr>
                <w:b/>
                <w:color w:val="154CE4"/>
                <w:sz w:val="19"/>
              </w:rPr>
              <w:t>Mode d’emploi</w:t>
            </w:r>
          </w:p>
          <w:p>
            <w:r>
              <w:rPr>
                <w:sz w:val="19"/>
              </w:rPr>
              <w:t>Remplissez les zones entre crochets à partir de votre tableur. Envoyez la note 48 heures avant le comité. La réunion sert à trancher les arbitrages de la section 5, pas à découvrir le contenu des sections 1 à 4.</w:t>
            </w:r>
          </w:p>
        </w:tc>
      </w:tr>
    </w:tbl>
    <w:p/>
    <w:tbl>
      <w:tblPr>
        <w:tblW w:type="auto" w:w="0"/>
        <w:jc w:val="center"/>
        <w:tblLook w:firstColumn="1" w:firstRow="1" w:lastColumn="0" w:lastRow="0" w:noHBand="0" w:noVBand="1" w:val="04A0"/>
      </w:tblPr>
      <w:tblGrid>
        <w:gridCol w:w="9746"/>
      </w:tblGrid>
      <w:tr>
        <w:tc>
          <w:tcPr>
            <w:tcW w:type="dxa" w:w="9746"/>
            <w:shd w:val="clear" w:color="auto" w:fill="EEF3FF"/>
          </w:tcPr>
          <w:p>
            <w:r>
              <w:rPr>
                <w:b/>
                <w:color w:val="154CE4"/>
                <w:sz w:val="19"/>
              </w:rPr>
              <w:t>Le cas d’école</w:t>
            </w:r>
          </w:p>
          <w:p>
            <w:r>
              <w:rPr>
                <w:sz w:val="19"/>
              </w:rPr>
              <w:t>Cas d’école fictif. Rondo est une application inventée pour la démonstration : un réseau de 62 boulangeries indépendantes qui veut proposer la commande à l’avance et une carte de fidélité dématérialisée. Ce réseau n’existe pas, et les chiffres qui l’accompagnent illustrent une méthode de mesure, pas une référence de marché.</w:t>
            </w:r>
          </w:p>
        </w:tc>
      </w:tr>
    </w:tbl>
    <w:p/>
    <w:p/>
    <w:p>
      <w:pPr>
        <w:pStyle w:val="Heading2"/>
      </w:pPr>
      <w:r>
        <w:t>1. Ce qui a été livré depuis la dernière revue</w:t>
      </w:r>
    </w:p>
    <w:p>
      <w:r>
        <w:rPr>
          <w:b/>
          <w:sz w:val="19"/>
        </w:rPr>
        <w:t xml:space="preserve">Ce qu’on attend ici : </w:t>
      </w:r>
      <w:r>
        <w:rPr>
          <w:color w:val="6C7A94"/>
          <w:sz w:val="19"/>
        </w:rPr>
        <w:t>les thèmes terminés et ce qu’ils ont produit, mesuré. Un thème livré sans mesure constatée est un thème dont on ne sait pas s’il a servi.</w:t>
      </w:r>
    </w:p>
    <w:p>
      <w:r>
        <w:t>Les points à couvrir :</w:t>
      </w:r>
    </w:p>
    <w:p>
      <w:pPr>
        <w:pStyle w:val="ListBullet"/>
      </w:pPr>
      <w:r>
        <w:t>Le thème, sa date de mise en service.</w:t>
      </w:r>
    </w:p>
    <w:p>
      <w:pPr>
        <w:pStyle w:val="ListBullet"/>
      </w:pPr>
      <w:r>
        <w:t>La valeur cible annoncée, la valeur constatée, la source.</w:t>
      </w:r>
    </w:p>
    <w:p>
      <w:pPr>
        <w:pStyle w:val="ListBullet"/>
      </w:pPr>
      <w:r>
        <w:t>Ce qu’on en conclut : on continue, on ajuste, on arrête.</w:t>
      </w:r>
    </w:p>
    <w:tbl>
      <w:tblPr>
        <w:tblStyle w:val="TableGrid"/>
        <w:tblW w:type="auto" w:w="0"/>
        <w:tblLook w:firstColumn="1" w:firstRow="1" w:lastColumn="0" w:lastRow="0" w:noHBand="0" w:noVBand="1" w:val="04A0"/>
      </w:tblPr>
      <w:tblGrid>
        <w:gridCol w:w="4873"/>
        <w:gridCol w:w="4873"/>
      </w:tblGrid>
      <w:tr>
        <w:tc>
          <w:tcPr>
            <w:tcW w:type="dxa" w:w="4873"/>
            <w:shd w:val="clear" w:color="auto" w:fill="0A1C4A"/>
          </w:tcPr>
          <w:p>
            <w:r>
              <w:rPr>
                <w:b/>
                <w:color w:val="FFFFFF"/>
                <w:sz w:val="18"/>
              </w:rPr>
              <w:t>Élément</w:t>
            </w:r>
          </w:p>
        </w:tc>
        <w:tc>
          <w:tcPr>
            <w:tcW w:type="dxa" w:w="4873"/>
            <w:shd w:val="clear" w:color="auto" w:fill="0A1C4A"/>
          </w:tcPr>
          <w:p>
            <w:r>
              <w:rPr>
                <w:b/>
                <w:color w:val="FFFFFF"/>
                <w:sz w:val="18"/>
              </w:rPr>
              <w:t>À compléter</w:t>
            </w:r>
          </w:p>
        </w:tc>
      </w:tr>
      <w:tr>
        <w:tc>
          <w:tcPr>
            <w:tcW w:type="dxa" w:w="4873"/>
          </w:tcPr>
          <w:p>
            <w:r>
              <w:rPr>
                <w:sz w:val="19"/>
              </w:rPr>
              <w:t>Thème livré</w:t>
            </w:r>
          </w:p>
        </w:tc>
        <w:tc>
          <w:tcPr>
            <w:tcW w:type="dxa" w:w="4873"/>
          </w:tcPr>
          <w:p>
            <w:r>
              <w:rPr>
                <w:color w:val="6C7A94"/>
                <w:sz w:val="19"/>
              </w:rPr>
              <w:t>[.] · mis en service le [date]</w:t>
            </w:r>
          </w:p>
        </w:tc>
      </w:tr>
      <w:tr>
        <w:tc>
          <w:tcPr>
            <w:tcW w:type="dxa" w:w="4873"/>
          </w:tcPr>
          <w:p>
            <w:r>
              <w:rPr>
                <w:sz w:val="19"/>
              </w:rPr>
              <w:t>Cible annoncée</w:t>
            </w:r>
          </w:p>
        </w:tc>
        <w:tc>
          <w:tcPr>
            <w:tcW w:type="dxa" w:w="4873"/>
          </w:tcPr>
          <w:p>
            <w:r>
              <w:rPr>
                <w:color w:val="6C7A94"/>
                <w:sz w:val="19"/>
              </w:rPr>
              <w:t>[.]</w:t>
            </w:r>
          </w:p>
        </w:tc>
      </w:tr>
      <w:tr>
        <w:tc>
          <w:tcPr>
            <w:tcW w:type="dxa" w:w="4873"/>
          </w:tcPr>
          <w:p>
            <w:r>
              <w:rPr>
                <w:sz w:val="19"/>
              </w:rPr>
              <w:t>Constaté</w:t>
            </w:r>
          </w:p>
        </w:tc>
        <w:tc>
          <w:tcPr>
            <w:tcW w:type="dxa" w:w="4873"/>
          </w:tcPr>
          <w:p>
            <w:r>
              <w:rPr>
                <w:color w:val="6C7A94"/>
                <w:sz w:val="19"/>
              </w:rPr>
              <w:t>[.] (source : [.])</w:t>
            </w:r>
          </w:p>
        </w:tc>
      </w:tr>
      <w:tr>
        <w:tc>
          <w:tcPr>
            <w:tcW w:type="dxa" w:w="4873"/>
          </w:tcPr>
          <w:p>
            <w:r>
              <w:rPr>
                <w:sz w:val="19"/>
              </w:rPr>
              <w:t>Conclusion</w:t>
            </w:r>
          </w:p>
        </w:tc>
        <w:tc>
          <w:tcPr>
            <w:tcW w:type="dxa" w:w="4873"/>
          </w:tcPr>
          <w:p>
            <w:r>
              <w:rPr>
                <w:color w:val="6C7A94"/>
                <w:sz w:val="19"/>
              </w:rPr>
              <w:t>[on continue / on ajuste / on arrête]</w:t>
            </w:r>
          </w:p>
        </w:tc>
      </w:tr>
    </w:tbl>
    <w:p/>
    <w:tbl>
      <w:tblPr>
        <w:tblW w:type="auto" w:w="0"/>
        <w:jc w:val="center"/>
        <w:tblLook w:firstColumn="1" w:firstRow="1" w:lastColumn="0" w:lastRow="0" w:noHBand="0" w:noVBand="1" w:val="04A0"/>
      </w:tblPr>
      <w:tblGrid>
        <w:gridCol w:w="9746"/>
      </w:tblGrid>
      <w:tr>
        <w:tc>
          <w:tcPr>
            <w:tcW w:type="dxa" w:w="9746"/>
            <w:shd w:val="clear" w:color="auto" w:fill="EEF3FF"/>
          </w:tcPr>
          <w:p>
            <w:r>
              <w:rPr>
                <w:b/>
                <w:color w:val="154CE4"/>
                <w:sz w:val="19"/>
              </w:rPr>
              <w:t>Exemple rempli · cas fictif Rondo</w:t>
            </w:r>
          </w:p>
          <w:p>
            <w:r>
              <w:rPr>
                <w:sz w:val="19"/>
              </w:rPr>
              <w:t>Commande à l’avance, mise en service sur six boutiques en semaine 34. Cible annoncée : 15 % des tickets du matin à six mois. Constaté à trois mois : 9 % sur les six pilotes (source : caisse). Conclusion : on continue, la pente est conforme, on ouvre au réseau comme prévu.</w:t>
            </w:r>
          </w:p>
        </w:tc>
      </w:tr>
    </w:tbl>
    <w:p/>
    <w:p>
      <w:pPr>
        <w:pStyle w:val="Heading2"/>
      </w:pPr>
      <w:r>
        <w:t>2. Maintenant</w:t>
      </w:r>
    </w:p>
    <w:p>
      <w:r>
        <w:rPr>
          <w:b/>
          <w:sz w:val="19"/>
        </w:rPr>
        <w:t xml:space="preserve">Ce qu’on attend ici : </w:t>
      </w:r>
      <w:r>
        <w:rPr>
          <w:color w:val="6C7A94"/>
          <w:sz w:val="19"/>
        </w:rPr>
        <w:t>ce qui est engagé, conçu et chiffré. Deux à quatre thèmes. Une équipe qui a huit sujets en cours n’en a en réalité aucun.</w:t>
      </w:r>
    </w:p>
    <w:p>
      <w:r>
        <w:t>Les points à couvrir :</w:t>
      </w:r>
    </w:p>
    <w:p>
      <w:pPr>
        <w:pStyle w:val="ListBullet"/>
      </w:pPr>
      <w:r>
        <w:t>Le thème et le problème qu’il traite, avec son chiffre.</w:t>
      </w:r>
    </w:p>
    <w:p>
      <w:pPr>
        <w:pStyle w:val="ListBullet"/>
      </w:pPr>
      <w:r>
        <w:t>La mesure de succès : valeur cible, échéance, source.</w:t>
      </w:r>
    </w:p>
    <w:p>
      <w:pPr>
        <w:pStyle w:val="ListBullet"/>
      </w:pPr>
      <w:r>
        <w:t>La date de mise en service annonçable.</w:t>
      </w:r>
    </w:p>
    <w:p>
      <w:pPr>
        <w:pStyle w:val="ListBullet"/>
      </w:pPr>
      <w:r>
        <w:t>Ce qui pourrait la faire glisser.</w:t>
      </w:r>
    </w:p>
    <w:tbl>
      <w:tblPr>
        <w:tblStyle w:val="TableGrid"/>
        <w:tblW w:type="auto" w:w="0"/>
        <w:tblLook w:firstColumn="1" w:firstRow="1" w:lastColumn="0" w:lastRow="0" w:noHBand="0" w:noVBand="1" w:val="04A0"/>
      </w:tblPr>
      <w:tblGrid>
        <w:gridCol w:w="4873"/>
        <w:gridCol w:w="4873"/>
      </w:tblGrid>
      <w:tr>
        <w:tc>
          <w:tcPr>
            <w:tcW w:type="dxa" w:w="4873"/>
            <w:shd w:val="clear" w:color="auto" w:fill="0A1C4A"/>
          </w:tcPr>
          <w:p>
            <w:r>
              <w:rPr>
                <w:b/>
                <w:color w:val="FFFFFF"/>
                <w:sz w:val="18"/>
              </w:rPr>
              <w:t>Élément</w:t>
            </w:r>
          </w:p>
        </w:tc>
        <w:tc>
          <w:tcPr>
            <w:tcW w:type="dxa" w:w="4873"/>
            <w:shd w:val="clear" w:color="auto" w:fill="0A1C4A"/>
          </w:tcPr>
          <w:p>
            <w:r>
              <w:rPr>
                <w:b/>
                <w:color w:val="FFFFFF"/>
                <w:sz w:val="18"/>
              </w:rPr>
              <w:t>À compléter</w:t>
            </w:r>
          </w:p>
        </w:tc>
      </w:tr>
      <w:tr>
        <w:tc>
          <w:tcPr>
            <w:tcW w:type="dxa" w:w="4873"/>
          </w:tcPr>
          <w:p>
            <w:r>
              <w:rPr>
                <w:sz w:val="19"/>
              </w:rPr>
              <w:t>Thème 1</w:t>
            </w:r>
          </w:p>
        </w:tc>
        <w:tc>
          <w:tcPr>
            <w:tcW w:type="dxa" w:w="4873"/>
          </w:tcPr>
          <w:p>
            <w:r>
              <w:rPr>
                <w:color w:val="6C7A94"/>
                <w:sz w:val="19"/>
              </w:rPr>
              <w:t>[.]</w:t>
            </w:r>
          </w:p>
        </w:tc>
      </w:tr>
      <w:tr>
        <w:tc>
          <w:tcPr>
            <w:tcW w:type="dxa" w:w="4873"/>
          </w:tcPr>
          <w:p>
            <w:r>
              <w:rPr>
                <w:sz w:val="19"/>
              </w:rPr>
              <w:t>Problème</w:t>
            </w:r>
          </w:p>
        </w:tc>
        <w:tc>
          <w:tcPr>
            <w:tcW w:type="dxa" w:w="4873"/>
          </w:tcPr>
          <w:p>
            <w:r>
              <w:rPr>
                <w:color w:val="6C7A94"/>
                <w:sz w:val="19"/>
              </w:rPr>
              <w:t>[.] ([chiffre])</w:t>
            </w:r>
          </w:p>
        </w:tc>
      </w:tr>
      <w:tr>
        <w:tc>
          <w:tcPr>
            <w:tcW w:type="dxa" w:w="4873"/>
          </w:tcPr>
          <w:p>
            <w:r>
              <w:rPr>
                <w:sz w:val="19"/>
              </w:rPr>
              <w:t>Mesure de succès</w:t>
            </w:r>
          </w:p>
        </w:tc>
        <w:tc>
          <w:tcPr>
            <w:tcW w:type="dxa" w:w="4873"/>
          </w:tcPr>
          <w:p>
            <w:r>
              <w:rPr>
                <w:color w:val="6C7A94"/>
                <w:sz w:val="19"/>
              </w:rPr>
              <w:t>[cible] d’ici [échéance], source [.]</w:t>
            </w:r>
          </w:p>
        </w:tc>
      </w:tr>
      <w:tr>
        <w:tc>
          <w:tcPr>
            <w:tcW w:type="dxa" w:w="4873"/>
          </w:tcPr>
          <w:p>
            <w:r>
              <w:rPr>
                <w:sz w:val="19"/>
              </w:rPr>
              <w:t>Mise en service visée</w:t>
            </w:r>
          </w:p>
        </w:tc>
        <w:tc>
          <w:tcPr>
            <w:tcW w:type="dxa" w:w="4873"/>
          </w:tcPr>
          <w:p>
            <w:r>
              <w:rPr>
                <w:color w:val="6C7A94"/>
                <w:sz w:val="19"/>
              </w:rPr>
              <w:t>[.]</w:t>
            </w:r>
          </w:p>
        </w:tc>
      </w:tr>
      <w:tr>
        <w:tc>
          <w:tcPr>
            <w:tcW w:type="dxa" w:w="4873"/>
          </w:tcPr>
          <w:p>
            <w:r>
              <w:rPr>
                <w:sz w:val="19"/>
              </w:rPr>
              <w:t>Ce qui pourrait la faire glisser</w:t>
            </w:r>
          </w:p>
        </w:tc>
        <w:tc>
          <w:tcPr>
            <w:tcW w:type="dxa" w:w="4873"/>
          </w:tcPr>
          <w:p>
            <w:r>
              <w:rPr>
                <w:color w:val="6C7A94"/>
                <w:sz w:val="19"/>
              </w:rPr>
              <w:t>[.]</w:t>
            </w:r>
          </w:p>
        </w:tc>
      </w:tr>
    </w:tbl>
    <w:p/>
    <w:tbl>
      <w:tblPr>
        <w:tblW w:type="auto" w:w="0"/>
        <w:jc w:val="center"/>
        <w:tblLook w:firstColumn="1" w:firstRow="1" w:lastColumn="0" w:lastRow="0" w:noHBand="0" w:noVBand="1" w:val="04A0"/>
      </w:tblPr>
      <w:tblGrid>
        <w:gridCol w:w="9746"/>
      </w:tblGrid>
      <w:tr>
        <w:tc>
          <w:tcPr>
            <w:tcW w:type="dxa" w:w="9746"/>
            <w:shd w:val="clear" w:color="auto" w:fill="EEF3FF"/>
          </w:tcPr>
          <w:p>
            <w:r>
              <w:rPr>
                <w:b/>
                <w:color w:val="154CE4"/>
                <w:sz w:val="19"/>
              </w:rPr>
              <w:t>Exemple rempli · cas fictif Rondo</w:t>
            </w:r>
          </w:p>
          <w:p>
            <w:r>
              <w:rPr>
                <w:sz w:val="19"/>
              </w:rPr>
              <w:t>Fidélité utilisable sans carte. Problème : la carte papier est présentée dans 12 % des passages, le réseau ne connaît pas ses clients réguliers. Mesure : 40 % de présentation à neuf mois, source rapport de caisse. Mise en service visée : semaine 38. Risque de glissement : le déploiement du lecteur de code en caisse.</w:t>
            </w:r>
          </w:p>
        </w:tc>
      </w:tr>
    </w:tbl>
    <w:p/>
    <w:p>
      <w:pPr>
        <w:pStyle w:val="Heading2"/>
      </w:pPr>
      <w:r>
        <w:t>3. Ensuite</w:t>
      </w:r>
    </w:p>
    <w:p>
      <w:r>
        <w:rPr>
          <w:b/>
          <w:sz w:val="19"/>
        </w:rPr>
        <w:t xml:space="preserve">Ce qu’on attend ici : </w:t>
      </w:r>
      <w:r>
        <w:rPr>
          <w:color w:val="6C7A94"/>
          <w:sz w:val="19"/>
        </w:rPr>
        <w:t>décidé et priorisé, pas encore conçu. Dites-le explicitement : la solution n’est pas arrêtée. C’est ce qui protège l’équipe le jour où elle proposera autre chose que ce que tout le monde avait en tête.</w:t>
      </w:r>
    </w:p>
    <w:p>
      <w:r>
        <w:t>Les points à couvrir :</w:t>
      </w:r>
    </w:p>
    <w:p>
      <w:pPr>
        <w:pStyle w:val="ListBullet"/>
      </w:pPr>
      <w:r>
        <w:t>Le thème et le problème, avec son chiffre.</w:t>
      </w:r>
    </w:p>
    <w:p>
      <w:pPr>
        <w:pStyle w:val="ListBullet"/>
      </w:pPr>
      <w:r>
        <w:t>La mesure visée, même approximative.</w:t>
      </w:r>
    </w:p>
    <w:p>
      <w:pPr>
        <w:pStyle w:val="ListBullet"/>
      </w:pPr>
      <w:r>
        <w:t>Le trimestre, jamais une date au jour près.</w:t>
      </w:r>
    </w:p>
    <w:p>
      <w:pPr>
        <w:pStyle w:val="ListBullet"/>
      </w:pPr>
      <w:r>
        <w:t>La mention explicite que la solution reste ouverte.</w:t>
      </w:r>
    </w:p>
    <w:tbl>
      <w:tblPr>
        <w:tblStyle w:val="TableGrid"/>
        <w:tblW w:type="auto" w:w="0"/>
        <w:tblLook w:firstColumn="1" w:firstRow="1" w:lastColumn="0" w:lastRow="0" w:noHBand="0" w:noVBand="1" w:val="04A0"/>
      </w:tblPr>
      <w:tblGrid>
        <w:gridCol w:w="4873"/>
        <w:gridCol w:w="4873"/>
      </w:tblGrid>
      <w:tr>
        <w:tc>
          <w:tcPr>
            <w:tcW w:type="dxa" w:w="4873"/>
            <w:shd w:val="clear" w:color="auto" w:fill="0A1C4A"/>
          </w:tcPr>
          <w:p>
            <w:r>
              <w:rPr>
                <w:b/>
                <w:color w:val="FFFFFF"/>
                <w:sz w:val="18"/>
              </w:rPr>
              <w:t>Élément</w:t>
            </w:r>
          </w:p>
        </w:tc>
        <w:tc>
          <w:tcPr>
            <w:tcW w:type="dxa" w:w="4873"/>
            <w:shd w:val="clear" w:color="auto" w:fill="0A1C4A"/>
          </w:tcPr>
          <w:p>
            <w:r>
              <w:rPr>
                <w:b/>
                <w:color w:val="FFFFFF"/>
                <w:sz w:val="18"/>
              </w:rPr>
              <w:t>À compléter</w:t>
            </w:r>
          </w:p>
        </w:tc>
      </w:tr>
      <w:tr>
        <w:tc>
          <w:tcPr>
            <w:tcW w:type="dxa" w:w="4873"/>
          </w:tcPr>
          <w:p>
            <w:r>
              <w:rPr>
                <w:sz w:val="19"/>
              </w:rPr>
              <w:t>Thème</w:t>
            </w:r>
          </w:p>
        </w:tc>
        <w:tc>
          <w:tcPr>
            <w:tcW w:type="dxa" w:w="4873"/>
          </w:tcPr>
          <w:p>
            <w:r>
              <w:rPr>
                <w:color w:val="6C7A94"/>
                <w:sz w:val="19"/>
              </w:rPr>
              <w:t>[.] · trimestre [.]</w:t>
            </w:r>
          </w:p>
        </w:tc>
      </w:tr>
      <w:tr>
        <w:tc>
          <w:tcPr>
            <w:tcW w:type="dxa" w:w="4873"/>
          </w:tcPr>
          <w:p>
            <w:r>
              <w:rPr>
                <w:sz w:val="19"/>
              </w:rPr>
              <w:t>Problème</w:t>
            </w:r>
          </w:p>
        </w:tc>
        <w:tc>
          <w:tcPr>
            <w:tcW w:type="dxa" w:w="4873"/>
          </w:tcPr>
          <w:p>
            <w:r>
              <w:rPr>
                <w:color w:val="6C7A94"/>
                <w:sz w:val="19"/>
              </w:rPr>
              <w:t>[.] ([chiffre])</w:t>
            </w:r>
          </w:p>
        </w:tc>
      </w:tr>
      <w:tr>
        <w:tc>
          <w:tcPr>
            <w:tcW w:type="dxa" w:w="4873"/>
          </w:tcPr>
          <w:p>
            <w:r>
              <w:rPr>
                <w:sz w:val="19"/>
              </w:rPr>
              <w:t>Mesure visée</w:t>
            </w:r>
          </w:p>
        </w:tc>
        <w:tc>
          <w:tcPr>
            <w:tcW w:type="dxa" w:w="4873"/>
          </w:tcPr>
          <w:p>
            <w:r>
              <w:rPr>
                <w:color w:val="6C7A94"/>
                <w:sz w:val="19"/>
              </w:rPr>
              <w:t>[.]</w:t>
            </w:r>
          </w:p>
        </w:tc>
      </w:tr>
      <w:tr>
        <w:tc>
          <w:tcPr>
            <w:tcW w:type="dxa" w:w="4873"/>
          </w:tcPr>
          <w:p>
            <w:r>
              <w:rPr>
                <w:sz w:val="19"/>
              </w:rPr>
              <w:t>Solution</w:t>
            </w:r>
          </w:p>
        </w:tc>
        <w:tc>
          <w:tcPr>
            <w:tcW w:type="dxa" w:w="4873"/>
          </w:tcPr>
          <w:p>
            <w:r>
              <w:rPr>
                <w:color w:val="6C7A94"/>
                <w:sz w:val="19"/>
              </w:rPr>
              <w:t>non arrêtée</w:t>
            </w:r>
          </w:p>
        </w:tc>
      </w:tr>
    </w:tbl>
    <w:p/>
    <w:tbl>
      <w:tblPr>
        <w:tblW w:type="auto" w:w="0"/>
        <w:jc w:val="center"/>
        <w:tblLook w:firstColumn="1" w:firstRow="1" w:lastColumn="0" w:lastRow="0" w:noHBand="0" w:noVBand="1" w:val="04A0"/>
      </w:tblPr>
      <w:tblGrid>
        <w:gridCol w:w="9746"/>
      </w:tblGrid>
      <w:tr>
        <w:tc>
          <w:tcPr>
            <w:tcW w:type="dxa" w:w="9746"/>
            <w:shd w:val="clear" w:color="auto" w:fill="EEF3FF"/>
          </w:tcPr>
          <w:p>
            <w:r>
              <w:rPr>
                <w:b/>
                <w:color w:val="154CE4"/>
                <w:sz w:val="19"/>
              </w:rPr>
              <w:t>Exemple rempli · cas fictif Rondo</w:t>
            </w:r>
          </w:p>
          <w:p>
            <w:r>
              <w:rPr>
                <w:sz w:val="19"/>
              </w:rPr>
              <w:t>Rendre la commande du matin réflexe, trimestre 2. Problème : 62 % des utilisateurs ne commandent qu’une seule fois. Mesure visée : 30 % de clients ayant commandé au moins quatre fois dans le mois. Solution non arrêtée.</w:t>
            </w:r>
          </w:p>
        </w:tc>
      </w:tr>
    </w:tbl>
    <w:p/>
    <w:p>
      <w:pPr>
        <w:pStyle w:val="Heading2"/>
      </w:pPr>
      <w:r>
        <w:t>4. Plus tard</w:t>
      </w:r>
    </w:p>
    <w:p>
      <w:r>
        <w:rPr>
          <w:b/>
          <w:sz w:val="19"/>
        </w:rPr>
        <w:t xml:space="preserve">Ce qu’on attend ici : </w:t>
      </w:r>
      <w:r>
        <w:rPr>
          <w:color w:val="6C7A94"/>
          <w:sz w:val="19"/>
        </w:rPr>
        <w:t>envisagé, sans engagement. Cette section sert surtout à montrer que les demandes reçues ne sont pas perdues. Écrivez la phrase « aucun engagement de date ni de contenu » : elle évite la moitié des relances.</w:t>
      </w:r>
    </w:p>
    <w:p>
      <w:r>
        <w:t>Les points à couvrir :</w:t>
      </w:r>
    </w:p>
    <w:p>
      <w:pPr>
        <w:pStyle w:val="ListBullet"/>
      </w:pPr>
      <w:r>
        <w:t>Les thèmes envisagés, en une ligne chacun.</w:t>
      </w:r>
    </w:p>
    <w:p>
      <w:pPr>
        <w:pStyle w:val="ListBullet"/>
      </w:pPr>
      <w:r>
        <w:t>D’où vient la demande, et combien de fois elle a été formulée.</w:t>
      </w:r>
    </w:p>
    <w:p>
      <w:pPr>
        <w:pStyle w:val="ListBullet"/>
      </w:pPr>
      <w:r>
        <w:t>Ce dont elle dépend, si elle dépend de quelque chose.</w:t>
      </w:r>
    </w:p>
    <w:tbl>
      <w:tblPr>
        <w:tblStyle w:val="TableGrid"/>
        <w:tblW w:type="auto" w:w="0"/>
        <w:tblLook w:firstColumn="1" w:firstRow="1" w:lastColumn="0" w:lastRow="0" w:noHBand="0" w:noVBand="1" w:val="04A0"/>
      </w:tblPr>
      <w:tblGrid>
        <w:gridCol w:w="4873"/>
        <w:gridCol w:w="4873"/>
      </w:tblGrid>
      <w:tr>
        <w:tc>
          <w:tcPr>
            <w:tcW w:type="dxa" w:w="4873"/>
            <w:shd w:val="clear" w:color="auto" w:fill="0A1C4A"/>
          </w:tcPr>
          <w:p>
            <w:r>
              <w:rPr>
                <w:b/>
                <w:color w:val="FFFFFF"/>
                <w:sz w:val="18"/>
              </w:rPr>
              <w:t>Élément</w:t>
            </w:r>
          </w:p>
        </w:tc>
        <w:tc>
          <w:tcPr>
            <w:tcW w:type="dxa" w:w="4873"/>
            <w:shd w:val="clear" w:color="auto" w:fill="0A1C4A"/>
          </w:tcPr>
          <w:p>
            <w:r>
              <w:rPr>
                <w:b/>
                <w:color w:val="FFFFFF"/>
                <w:sz w:val="18"/>
              </w:rPr>
              <w:t>À compléter</w:t>
            </w:r>
          </w:p>
        </w:tc>
      </w:tr>
      <w:tr>
        <w:tc>
          <w:tcPr>
            <w:tcW w:type="dxa" w:w="4873"/>
          </w:tcPr>
          <w:p>
            <w:r>
              <w:rPr>
                <w:sz w:val="19"/>
              </w:rPr>
              <w:t>Thème envisagé 1</w:t>
            </w:r>
          </w:p>
        </w:tc>
        <w:tc>
          <w:tcPr>
            <w:tcW w:type="dxa" w:w="4873"/>
          </w:tcPr>
          <w:p>
            <w:r>
              <w:rPr>
                <w:color w:val="6C7A94"/>
                <w:sz w:val="19"/>
              </w:rPr>
              <w:t>[.] · demandé par [.]</w:t>
            </w:r>
          </w:p>
        </w:tc>
      </w:tr>
      <w:tr>
        <w:tc>
          <w:tcPr>
            <w:tcW w:type="dxa" w:w="4873"/>
          </w:tcPr>
          <w:p>
            <w:r>
              <w:rPr>
                <w:sz w:val="19"/>
              </w:rPr>
              <w:t>Thème envisagé 2</w:t>
            </w:r>
          </w:p>
        </w:tc>
        <w:tc>
          <w:tcPr>
            <w:tcW w:type="dxa" w:w="4873"/>
          </w:tcPr>
          <w:p>
            <w:r>
              <w:rPr>
                <w:color w:val="6C7A94"/>
                <w:sz w:val="19"/>
              </w:rPr>
              <w:t>[.]</w:t>
            </w:r>
          </w:p>
        </w:tc>
      </w:tr>
      <w:tr>
        <w:tc>
          <w:tcPr>
            <w:tcW w:type="dxa" w:w="4873"/>
          </w:tcPr>
          <w:p>
            <w:r>
              <w:rPr>
                <w:sz w:val="19"/>
              </w:rPr>
              <w:t>Mention</w:t>
            </w:r>
          </w:p>
        </w:tc>
        <w:tc>
          <w:tcPr>
            <w:tcW w:type="dxa" w:w="4873"/>
          </w:tcPr>
          <w:p>
            <w:r>
              <w:rPr>
                <w:color w:val="6C7A94"/>
                <w:sz w:val="19"/>
              </w:rPr>
              <w:t>Aucun engagement de date ni de contenu.</w:t>
            </w:r>
          </w:p>
        </w:tc>
      </w:tr>
    </w:tbl>
    <w:p/>
    <w:tbl>
      <w:tblPr>
        <w:tblW w:type="auto" w:w="0"/>
        <w:jc w:val="center"/>
        <w:tblLook w:firstColumn="1" w:firstRow="1" w:lastColumn="0" w:lastRow="0" w:noHBand="0" w:noVBand="1" w:val="04A0"/>
      </w:tblPr>
      <w:tblGrid>
        <w:gridCol w:w="9746"/>
      </w:tblGrid>
      <w:tr>
        <w:tc>
          <w:tcPr>
            <w:tcW w:type="dxa" w:w="9746"/>
            <w:shd w:val="clear" w:color="auto" w:fill="EEF3FF"/>
          </w:tcPr>
          <w:p>
            <w:r>
              <w:rPr>
                <w:b/>
                <w:color w:val="154CE4"/>
                <w:sz w:val="19"/>
              </w:rPr>
              <w:t>Exemple rempli · cas fictif Rondo</w:t>
            </w:r>
          </w:p>
          <w:p>
            <w:r>
              <w:rPr>
                <w:sz w:val="19"/>
              </w:rPr>
              <w:t>Commande pour une équipe ou un bureau, demandée par neuf boutiques du pilote. Retrait sans contact au comptoir, qui dépend du renouvellement du parc de caisses. Aucun engagement de date ni de contenu sur ces deux sujets.</w:t>
            </w:r>
          </w:p>
        </w:tc>
      </w:tr>
    </w:tbl>
    <w:p/>
    <w:p>
      <w:pPr>
        <w:pStyle w:val="Heading2"/>
      </w:pPr>
      <w:r>
        <w:t>5. Les arbitrages demandés au comité</w:t>
      </w:r>
    </w:p>
    <w:p>
      <w:r>
        <w:rPr>
          <w:b/>
          <w:sz w:val="19"/>
        </w:rPr>
        <w:t xml:space="preserve">Ce qu’on attend ici : </w:t>
      </w:r>
      <w:r>
        <w:rPr>
          <w:color w:val="6C7A94"/>
          <w:sz w:val="19"/>
        </w:rPr>
        <w:t>la seule section qui appelle une décision en séance. Une question par ligne, fermée, avec les deux options et leur conséquence.</w:t>
      </w:r>
    </w:p>
    <w:p>
      <w:r>
        <w:t>Les points à couvrir :</w:t>
      </w:r>
    </w:p>
    <w:p>
      <w:pPr>
        <w:pStyle w:val="ListBullet"/>
      </w:pPr>
      <w:r>
        <w:t>La question, formulée de façon à pouvoir être tranchée en séance.</w:t>
      </w:r>
    </w:p>
    <w:p>
      <w:pPr>
        <w:pStyle w:val="ListBullet"/>
      </w:pPr>
      <w:r>
        <w:t>Les deux options, avec ce que chacune coûte et ce qu’elle rapporte.</w:t>
      </w:r>
    </w:p>
    <w:p>
      <w:pPr>
        <w:pStyle w:val="ListBullet"/>
      </w:pPr>
      <w:r>
        <w:t>La recommandation de l’équipe, et pourquoi.</w:t>
      </w:r>
    </w:p>
    <w:p>
      <w:pPr>
        <w:pStyle w:val="ListBullet"/>
      </w:pPr>
      <w:r>
        <w:t>Qui tranche.</w:t>
      </w:r>
    </w:p>
    <w:tbl>
      <w:tblPr>
        <w:tblStyle w:val="TableGrid"/>
        <w:tblW w:type="auto" w:w="0"/>
        <w:tblLook w:firstColumn="1" w:firstRow="1" w:lastColumn="0" w:lastRow="0" w:noHBand="0" w:noVBand="1" w:val="04A0"/>
      </w:tblPr>
      <w:tblGrid>
        <w:gridCol w:w="4873"/>
        <w:gridCol w:w="4873"/>
      </w:tblGrid>
      <w:tr>
        <w:tc>
          <w:tcPr>
            <w:tcW w:type="dxa" w:w="4873"/>
            <w:shd w:val="clear" w:color="auto" w:fill="0A1C4A"/>
          </w:tcPr>
          <w:p>
            <w:r>
              <w:rPr>
                <w:b/>
                <w:color w:val="FFFFFF"/>
                <w:sz w:val="18"/>
              </w:rPr>
              <w:t>Élément</w:t>
            </w:r>
          </w:p>
        </w:tc>
        <w:tc>
          <w:tcPr>
            <w:tcW w:type="dxa" w:w="4873"/>
            <w:shd w:val="clear" w:color="auto" w:fill="0A1C4A"/>
          </w:tcPr>
          <w:p>
            <w:r>
              <w:rPr>
                <w:b/>
                <w:color w:val="FFFFFF"/>
                <w:sz w:val="18"/>
              </w:rPr>
              <w:t>À compléter</w:t>
            </w:r>
          </w:p>
        </w:tc>
      </w:tr>
      <w:tr>
        <w:tc>
          <w:tcPr>
            <w:tcW w:type="dxa" w:w="4873"/>
          </w:tcPr>
          <w:p>
            <w:r>
              <w:rPr>
                <w:sz w:val="19"/>
              </w:rPr>
              <w:t>Question 1</w:t>
            </w:r>
          </w:p>
        </w:tc>
        <w:tc>
          <w:tcPr>
            <w:tcW w:type="dxa" w:w="4873"/>
          </w:tcPr>
          <w:p>
            <w:r>
              <w:rPr>
                <w:color w:val="6C7A94"/>
                <w:sz w:val="19"/>
              </w:rPr>
              <w:t>[.]</w:t>
            </w:r>
          </w:p>
        </w:tc>
      </w:tr>
      <w:tr>
        <w:tc>
          <w:tcPr>
            <w:tcW w:type="dxa" w:w="4873"/>
          </w:tcPr>
          <w:p>
            <w:r>
              <w:rPr>
                <w:sz w:val="19"/>
              </w:rPr>
              <w:t>Option A</w:t>
            </w:r>
          </w:p>
        </w:tc>
        <w:tc>
          <w:tcPr>
            <w:tcW w:type="dxa" w:w="4873"/>
          </w:tcPr>
          <w:p>
            <w:r>
              <w:rPr>
                <w:color w:val="6C7A94"/>
                <w:sz w:val="19"/>
              </w:rPr>
              <w:t>[.] · conséquence [.]</w:t>
            </w:r>
          </w:p>
        </w:tc>
      </w:tr>
      <w:tr>
        <w:tc>
          <w:tcPr>
            <w:tcW w:type="dxa" w:w="4873"/>
          </w:tcPr>
          <w:p>
            <w:r>
              <w:rPr>
                <w:sz w:val="19"/>
              </w:rPr>
              <w:t>Option B</w:t>
            </w:r>
          </w:p>
        </w:tc>
        <w:tc>
          <w:tcPr>
            <w:tcW w:type="dxa" w:w="4873"/>
          </w:tcPr>
          <w:p>
            <w:r>
              <w:rPr>
                <w:color w:val="6C7A94"/>
                <w:sz w:val="19"/>
              </w:rPr>
              <w:t>[.] · conséquence [.]</w:t>
            </w:r>
          </w:p>
        </w:tc>
      </w:tr>
      <w:tr>
        <w:tc>
          <w:tcPr>
            <w:tcW w:type="dxa" w:w="4873"/>
          </w:tcPr>
          <w:p>
            <w:r>
              <w:rPr>
                <w:sz w:val="19"/>
              </w:rPr>
              <w:t>Recommandation</w:t>
            </w:r>
          </w:p>
        </w:tc>
        <w:tc>
          <w:tcPr>
            <w:tcW w:type="dxa" w:w="4873"/>
          </w:tcPr>
          <w:p>
            <w:r>
              <w:rPr>
                <w:color w:val="6C7A94"/>
                <w:sz w:val="19"/>
              </w:rPr>
              <w:t>[.]</w:t>
            </w:r>
          </w:p>
        </w:tc>
      </w:tr>
      <w:tr>
        <w:tc>
          <w:tcPr>
            <w:tcW w:type="dxa" w:w="4873"/>
          </w:tcPr>
          <w:p>
            <w:r>
              <w:rPr>
                <w:sz w:val="19"/>
              </w:rPr>
              <w:t>Tranche</w:t>
            </w:r>
          </w:p>
        </w:tc>
        <w:tc>
          <w:tcPr>
            <w:tcW w:type="dxa" w:w="4873"/>
          </w:tcPr>
          <w:p>
            <w:r>
              <w:rPr>
                <w:color w:val="6C7A94"/>
                <w:sz w:val="19"/>
              </w:rPr>
              <w:t>[nom]</w:t>
            </w:r>
          </w:p>
        </w:tc>
      </w:tr>
    </w:tbl>
    <w:p/>
    <w:tbl>
      <w:tblPr>
        <w:tblW w:type="auto" w:w="0"/>
        <w:jc w:val="center"/>
        <w:tblLook w:firstColumn="1" w:firstRow="1" w:lastColumn="0" w:lastRow="0" w:noHBand="0" w:noVBand="1" w:val="04A0"/>
      </w:tblPr>
      <w:tblGrid>
        <w:gridCol w:w="9746"/>
      </w:tblGrid>
      <w:tr>
        <w:tc>
          <w:tcPr>
            <w:tcW w:type="dxa" w:w="9746"/>
            <w:shd w:val="clear" w:color="auto" w:fill="EEF3FF"/>
          </w:tcPr>
          <w:p>
            <w:r>
              <w:rPr>
                <w:b/>
                <w:color w:val="154CE4"/>
                <w:sz w:val="19"/>
              </w:rPr>
              <w:t>Exemple rempli · cas fictif Rondo</w:t>
            </w:r>
          </w:p>
          <w:p>
            <w:r>
              <w:rPr>
                <w:sz w:val="19"/>
              </w:rPr>
              <w:t>Ouvre-t-on au réseau en semaine 40 avec la fidélité incomplète, ou attend-on la semaine 44 ? Option A : on ouvre en 40, on capte la rentrée, la fidélité arrive en novembre. Option B : on attend 44, l’offre est complète mais on perd le pic de septembre. Recommandation : option A, parce que l’objectif de base de comptes dépend du volume de rentrée. Tranche : le responsable du réseau.</w:t>
            </w:r>
          </w:p>
        </w:tc>
      </w:tr>
    </w:tbl>
    <w:p/>
    <w:p>
      <w:r>
        <w:br w:type="page"/>
      </w:r>
    </w:p>
    <w:p>
      <w:pPr>
        <w:pStyle w:val="Heading1"/>
      </w:pPr>
      <w:r>
        <w:t>Annexe · la roadmap remplie (cas fictif Rondo)</w:t>
      </w:r>
    </w:p>
    <w:p>
      <w:r>
        <w:t>Cas d’école fictif. Rondo est une application inventée pour la démonstration : un réseau de 62 boulangeries indépendantes qui veut proposer la commande à l’avance et une carte de fidélité dématérialisée. Ce réseau n’existe pas, et les chiffres qui l’accompagnent illustrent une méthode de mesure, pas une référence de marché.</w:t>
      </w:r>
    </w:p>
    <w:tbl>
      <w:tblPr>
        <w:tblStyle w:val="TableGrid"/>
        <w:tblW w:type="auto" w:w="0"/>
        <w:tblLook w:firstColumn="1" w:firstRow="1" w:lastColumn="0" w:lastRow="0" w:noHBand="0" w:noVBand="1" w:val="04A0"/>
      </w:tblPr>
      <w:tblGrid>
        <w:gridCol w:w="4873"/>
        <w:gridCol w:w="4873"/>
      </w:tblGrid>
      <w:tr>
        <w:tc>
          <w:tcPr>
            <w:tcW w:type="dxa" w:w="4873"/>
            <w:shd w:val="clear" w:color="auto" w:fill="0A1C4A"/>
          </w:tcPr>
          <w:p>
            <w:r>
              <w:rPr>
                <w:b/>
                <w:color w:val="FFFFFF"/>
                <w:sz w:val="18"/>
              </w:rPr>
              <w:t>Section</w:t>
            </w:r>
          </w:p>
        </w:tc>
        <w:tc>
          <w:tcPr>
            <w:tcW w:type="dxa" w:w="4873"/>
            <w:shd w:val="clear" w:color="auto" w:fill="0A1C4A"/>
          </w:tcPr>
          <w:p>
            <w:r>
              <w:rPr>
                <w:b/>
                <w:color w:val="FFFFFF"/>
                <w:sz w:val="18"/>
              </w:rPr>
              <w:t>Contenu</w:t>
            </w:r>
          </w:p>
        </w:tc>
      </w:tr>
      <w:tr>
        <w:tc>
          <w:tcPr>
            <w:tcW w:type="dxa" w:w="4873"/>
          </w:tcPr>
          <w:p>
            <w:r>
              <w:rPr>
                <w:b/>
                <w:sz w:val="19"/>
              </w:rPr>
              <w:t>Maintenant T1 · Commander avant de venir</w:t>
            </w:r>
          </w:p>
        </w:tc>
        <w:tc>
          <w:tcPr>
            <w:tcW w:type="dxa" w:w="4873"/>
          </w:tcPr>
          <w:p>
            <w:r>
              <w:rPr>
                <w:sz w:val="19"/>
              </w:rPr>
              <w:t>Problème : 11 minutes d’attente moyenne relevées entre 7 h 30 et 9 h ; 1 client sur 5 repart.</w:t>
              <w:br/>
              <w:t>Mesure : 15 % des tickets du matin marqués « commande app » à 6 mois (source : caisse).</w:t>
              <w:br/>
              <w:t>Statut : En cours.</w:t>
              <w:br/>
              <w:t>Pilote sur 6 boutiques volontaires</w:t>
            </w:r>
          </w:p>
        </w:tc>
      </w:tr>
      <w:tr>
        <w:tc>
          <w:tcPr>
            <w:tcW w:type="dxa" w:w="4873"/>
          </w:tcPr>
          <w:p>
            <w:r>
              <w:rPr>
                <w:b/>
                <w:sz w:val="19"/>
              </w:rPr>
              <w:t>Maintenant T1 · Fidélité utilisable sans carte</w:t>
            </w:r>
          </w:p>
        </w:tc>
        <w:tc>
          <w:tcPr>
            <w:tcW w:type="dxa" w:w="4873"/>
          </w:tcPr>
          <w:p>
            <w:r>
              <w:rPr>
                <w:sz w:val="19"/>
              </w:rPr>
              <w:t>Problème : La carte papier est présentée dans 12 % des passages.</w:t>
              <w:br/>
              <w:t>Mesure : 40 % de présentation à 9 mois (source : rapport de caisse mensuel).</w:t>
              <w:br/>
              <w:t>Statut : En cours.</w:t>
            </w:r>
          </w:p>
        </w:tc>
      </w:tr>
      <w:tr>
        <w:tc>
          <w:tcPr>
            <w:tcW w:type="dxa" w:w="4873"/>
          </w:tcPr>
          <w:p>
            <w:r>
              <w:rPr>
                <w:b/>
                <w:sz w:val="19"/>
              </w:rPr>
              <w:t>Maintenant T1 · La boutique garde la main sur son catalogue</w:t>
            </w:r>
          </w:p>
        </w:tc>
        <w:tc>
          <w:tcPr>
            <w:tcW w:type="dxa" w:w="4873"/>
          </w:tcPr>
          <w:p>
            <w:r>
              <w:rPr>
                <w:sz w:val="19"/>
              </w:rPr>
              <w:t>Problème : Les ruptures sont signalées au siège par téléphone, répercutées en une demi-journée.</w:t>
              <w:br/>
              <w:t>Mesure : Délai moyen de mise à jour d’un produit épuisé sous 2 minutes.</w:t>
              <w:br/>
              <w:t>Statut : En cours.</w:t>
              <w:br/>
              <w:t>Classé obligatoire dans la matrice</w:t>
            </w:r>
          </w:p>
        </w:tc>
      </w:tr>
      <w:tr>
        <w:tc>
          <w:tcPr>
            <w:tcW w:type="dxa" w:w="4873"/>
          </w:tcPr>
          <w:p>
            <w:r>
              <w:rPr>
                <w:b/>
                <w:sz w:val="19"/>
              </w:rPr>
              <w:t>Ensuite T2 · Rendre la commande du matin réflexe</w:t>
            </w:r>
          </w:p>
        </w:tc>
        <w:tc>
          <w:tcPr>
            <w:tcW w:type="dxa" w:w="4873"/>
          </w:tcPr>
          <w:p>
            <w:r>
              <w:rPr>
                <w:sz w:val="19"/>
              </w:rPr>
              <w:t>Problème : 62 % des utilisateurs ne commandent qu’une seule fois.</w:t>
              <w:br/>
              <w:t>Mesure : 30 % de clients ayant commandé au moins 4 fois dans le mois.</w:t>
              <w:br/>
              <w:t>Statut : Décidé.</w:t>
              <w:br/>
              <w:t>Solution non arrêtée</w:t>
            </w:r>
          </w:p>
        </w:tc>
      </w:tr>
      <w:tr>
        <w:tc>
          <w:tcPr>
            <w:tcW w:type="dxa" w:w="4873"/>
          </w:tcPr>
          <w:p>
            <w:r>
              <w:rPr>
                <w:b/>
                <w:sz w:val="19"/>
              </w:rPr>
              <w:t>Ensuite T2 · Réduire les échecs de paiement</w:t>
            </w:r>
          </w:p>
        </w:tc>
        <w:tc>
          <w:tcPr>
            <w:tcW w:type="dxa" w:w="4873"/>
          </w:tcPr>
          <w:p>
            <w:r>
              <w:rPr>
                <w:sz w:val="19"/>
              </w:rPr>
              <w:t>Problème : Le taux d’échec constaté sur le pilote dépasse la cible de 2 %.</w:t>
              <w:br/>
              <w:t>Mesure : Taux d’échec de paiement sous 1 % sur 30 jours glissants.</w:t>
              <w:br/>
              <w:t>Statut : Décidé.</w:t>
              <w:br/>
              <w:t>Solution non arrêtée</w:t>
            </w:r>
          </w:p>
        </w:tc>
      </w:tr>
      <w:tr>
        <w:tc>
          <w:tcPr>
            <w:tcW w:type="dxa" w:w="4873"/>
          </w:tcPr>
          <w:p>
            <w:r>
              <w:rPr>
                <w:b/>
                <w:sz w:val="19"/>
              </w:rPr>
              <w:t>Ensuite T3 · Donner au siège une vue d’adoption par boutique</w:t>
            </w:r>
          </w:p>
        </w:tc>
        <w:tc>
          <w:tcPr>
            <w:tcW w:type="dxa" w:w="4873"/>
          </w:tcPr>
          <w:p>
            <w:r>
              <w:rPr>
                <w:sz w:val="19"/>
              </w:rPr>
              <w:t>Problème : Le siège appelle les boutiques pour connaître leur volume.</w:t>
              <w:br/>
              <w:t>Mesure : Tableau de bord consulté chaque semaine par le siège, zéro appel de relevé.</w:t>
              <w:br/>
              <w:t>Statut : Décidé.</w:t>
            </w:r>
          </w:p>
        </w:tc>
      </w:tr>
      <w:tr>
        <w:tc>
          <w:tcPr>
            <w:tcW w:type="dxa" w:w="4873"/>
          </w:tcPr>
          <w:p>
            <w:r>
              <w:rPr>
                <w:b/>
                <w:sz w:val="19"/>
              </w:rPr>
              <w:t>Plus tard · Commande pour une équipe ou un bureau</w:t>
            </w:r>
          </w:p>
        </w:tc>
        <w:tc>
          <w:tcPr>
            <w:tcW w:type="dxa" w:w="4873"/>
          </w:tcPr>
          <w:p>
            <w:r>
              <w:rPr>
                <w:sz w:val="19"/>
              </w:rPr>
              <w:t>Problème : Demandé par 9 boutiques sur le pilote.</w:t>
              <w:br/>
              <w:t>Mesure : À définir.</w:t>
              <w:br/>
              <w:t>Statut : Envisagé.</w:t>
              <w:br/>
              <w:t>Aucun engagement de date ni de contenu</w:t>
            </w:r>
          </w:p>
        </w:tc>
      </w:tr>
      <w:tr>
        <w:tc>
          <w:tcPr>
            <w:tcW w:type="dxa" w:w="4873"/>
          </w:tcPr>
          <w:p>
            <w:r>
              <w:rPr>
                <w:b/>
                <w:sz w:val="19"/>
              </w:rPr>
              <w:t>Plus tard · Retrait sans contact au comptoir</w:t>
            </w:r>
          </w:p>
        </w:tc>
        <w:tc>
          <w:tcPr>
            <w:tcW w:type="dxa" w:w="4873"/>
          </w:tcPr>
          <w:p>
            <w:r>
              <w:rPr>
                <w:sz w:val="19"/>
              </w:rPr>
              <w:t>Problème : Dépend du renouvellement du parc de caisses.</w:t>
              <w:br/>
              <w:t>Mesure : À définir.</w:t>
              <w:br/>
              <w:t>Statut : Envisagé.</w:t>
              <w:br/>
              <w:t>Aucun engagement</w:t>
            </w:r>
          </w:p>
        </w:tc>
      </w:tr>
      <w:tr>
        <w:tc>
          <w:tcPr>
            <w:tcW w:type="dxa" w:w="4873"/>
          </w:tcPr>
          <w:p>
            <w:r>
              <w:rPr>
                <w:b/>
                <w:sz w:val="19"/>
              </w:rPr>
              <w:t>Plus tard · Version en langue étrangère</w:t>
            </w:r>
          </w:p>
        </w:tc>
        <w:tc>
          <w:tcPr>
            <w:tcW w:type="dxa" w:w="4873"/>
          </w:tcPr>
          <w:p>
            <w:r>
              <w:rPr>
                <w:sz w:val="19"/>
              </w:rPr>
              <w:t>Problème : Demandée par les boutiques des zones touristiques.</w:t>
              <w:br/>
              <w:t>Mesure : À définir.</w:t>
              <w:br/>
              <w:t>Statut : Envisagé.</w:t>
              <w:br/>
              <w:t>Aucun engagement</w:t>
            </w:r>
          </w:p>
        </w:tc>
      </w:tr>
    </w:tbl>
    <w:sectPr w:rsidR="00FC693F" w:rsidRPr="0006063C" w:rsidSect="00034616">
      <w:footerReference w:type="default" r:id="rId9"/>
      <w:pgSz w:w="12240" w:h="15840"/>
      <w:pgMar w:top="1247"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C7A94"/>
        <w:sz w:val="16"/>
      </w:rPr>
      <w:t>agenceapplicationmobile.fr · modèle libre d’usage, y compris pour un projet commercial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E2A4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A1C4A"/>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54CE4"/>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A1C4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