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154CE4"/>
          <w:sz w:val="16"/>
        </w:rPr>
        <w:t>AGENCEAPPLICATIONMOBILE.FR</w:t>
      </w:r>
    </w:p>
    <w:p>
      <w:pPr>
        <w:pStyle w:val="Heading1"/>
      </w:pPr>
      <w:r>
        <w:t>Kick-off de projet : ordre du jour et compte rendu</w:t>
      </w:r>
    </w:p>
    <w:p>
      <w:r>
        <w:rPr>
          <w:color w:val="6C7A94"/>
          <w:sz w:val="23"/>
        </w:rPr>
        <w:t>Deux heures, six décisions, un compte rendu diffusé le jour même</w:t>
      </w:r>
    </w:p>
    <w:p>
      <w:r>
        <w:t>La réunion de lancement ouvre les travaux, une fois le contrat signé et avant la première ligne de code. Ce document contient l’ordre du jour à envoyer 48 heures avant, la trame de compte rendu à remplir pendant la séance, et un exemple rempli.</w:t>
      </w:r>
    </w:p>
    <w:tbl>
      <w:tblPr>
        <w:tblW w:type="auto" w:w="0"/>
        <w:jc w:val="center"/>
        <w:tblLook w:firstColumn="1" w:firstRow="1" w:lastColumn="0" w:lastRow="0" w:noHBand="0" w:noVBand="1" w:val="04A0"/>
      </w:tblPr>
      <w:tblGrid>
        <w:gridCol w:w="9746"/>
      </w:tblGrid>
      <w:tr>
        <w:tc>
          <w:tcPr>
            <w:tcW w:type="dxa" w:w="9746"/>
            <w:shd w:val="clear" w:color="auto" w:fill="F4F6FB"/>
          </w:tcPr>
          <w:p>
            <w:r>
              <w:rPr>
                <w:b/>
                <w:color w:val="154CE4"/>
                <w:sz w:val="19"/>
              </w:rPr>
              <w:t>Mode d’emploi</w:t>
            </w:r>
          </w:p>
          <w:p>
            <w:r>
              <w:rPr>
                <w:sz w:val="19"/>
              </w:rPr>
              <w:t>Envoyez l’ordre du jour et la note de cadrage validée 48 heures avant. Gardez les dix dernières minutes pour le compte rendu : diffusé le jour même il fait foi, diffusé trois jours plus tard il se discute.</w:t>
            </w:r>
          </w:p>
        </w:tc>
      </w:tr>
    </w:tbl>
    <w:p/>
    <w:tbl>
      <w:tblPr>
        <w:tblW w:type="auto" w:w="0"/>
        <w:jc w:val="center"/>
        <w:tblLook w:firstColumn="1" w:firstRow="1" w:lastColumn="0" w:lastRow="0" w:noHBand="0" w:noVBand="1" w:val="04A0"/>
      </w:tblPr>
      <w:tblGrid>
        <w:gridCol w:w="9746"/>
      </w:tblGrid>
      <w:tr>
        <w:tc>
          <w:tcPr>
            <w:tcW w:type="dxa" w:w="9746"/>
            <w:shd w:val="clear" w:color="auto" w:fill="EEF3FF"/>
          </w:tcPr>
          <w:p>
            <w:r>
              <w:rPr>
                <w:b/>
                <w:color w:val="154CE4"/>
                <w:sz w:val="19"/>
              </w:rPr>
              <w:t>Le cas d’école</w:t>
            </w:r>
          </w:p>
          <w:p>
            <w:r>
              <w:rPr>
                <w:sz w:val="19"/>
              </w:rPr>
              <w:t>Cas d’école fictif. Rondo est une application inventée pour la démonstration : un réseau de 62 boulangeries indépendantes qui veut proposer la commande à l’avance et une carte de fidélité dématérialisée. Ce réseau n’existe pas, et les chiffres qui l’accompagnent illustrent une méthode de mesure, pas une référence de marché.</w:t>
            </w:r>
          </w:p>
        </w:tc>
      </w:tr>
    </w:tbl>
    <w:p/>
    <w:p/>
    <w:p>
      <w:pPr>
        <w:pStyle w:val="Heading1"/>
      </w:pPr>
      <w:r>
        <w:t>Partie 1 · L’ordre du jour à envoyer</w:t>
      </w:r>
    </w:p>
    <w:p>
      <w:r>
        <w:t>À coller dans l’invitation. Le temps indiqué est un plafond : un point qui déborde signale un désaccord de fond, qui mérite une action datée plutôt qu’une demi-heure de plus.</w:t>
      </w:r>
    </w:p>
    <w:p>
      <w:pPr>
        <w:pStyle w:val="Heading2"/>
      </w:pPr>
      <w:r>
        <w:t>1. Périmètre confirmé  (20 min)</w:t>
      </w:r>
    </w:p>
    <w:p>
      <w:r>
        <w:rPr>
          <w:b/>
          <w:sz w:val="19"/>
        </w:rPr>
        <w:t xml:space="preserve">Ce qu’on attend ici : </w:t>
      </w:r>
      <w:r>
        <w:rPr>
          <w:color w:val="6C7A94"/>
          <w:sz w:val="19"/>
        </w:rPr>
        <w:t>Relire à voix haute ce qui est dans le lot et ce qui en est exclu. On ne rouvre pas l’arbitrage : on vérifie que tout le monde lit la même chose.</w:t>
      </w:r>
    </w:p>
    <w:tbl>
      <w:tblPr>
        <w:tblStyle w:val="TableGrid"/>
        <w:tblW w:type="auto" w:w="0"/>
        <w:tblLook w:firstColumn="1" w:firstRow="1" w:lastColumn="0" w:lastRow="0" w:noHBand="0" w:noVBand="1" w:val="04A0"/>
      </w:tblPr>
      <w:tblGrid>
        <w:gridCol w:w="4873"/>
        <w:gridCol w:w="4873"/>
      </w:tblGrid>
      <w:tr>
        <w:tc>
          <w:tcPr>
            <w:tcW w:type="dxa" w:w="4873"/>
            <w:shd w:val="clear" w:color="auto" w:fill="0A1C4A"/>
          </w:tcPr>
          <w:p>
            <w:r>
              <w:rPr>
                <w:b/>
                <w:color w:val="FFFFFF"/>
                <w:sz w:val="18"/>
              </w:rPr>
              <w:t>Élément</w:t>
            </w:r>
          </w:p>
        </w:tc>
        <w:tc>
          <w:tcPr>
            <w:tcW w:type="dxa" w:w="4873"/>
            <w:shd w:val="clear" w:color="auto" w:fill="0A1C4A"/>
          </w:tcPr>
          <w:p>
            <w:r>
              <w:rPr>
                <w:b/>
                <w:color w:val="FFFFFF"/>
                <w:sz w:val="18"/>
              </w:rPr>
              <w:t>À compléter</w:t>
            </w:r>
          </w:p>
        </w:tc>
      </w:tr>
      <w:tr>
        <w:tc>
          <w:tcPr>
            <w:tcW w:type="dxa" w:w="4873"/>
          </w:tcPr>
          <w:p>
            <w:r>
              <w:rPr>
                <w:sz w:val="19"/>
              </w:rPr>
              <w:t>La décision attendue</w:t>
            </w:r>
          </w:p>
        </w:tc>
        <w:tc>
          <w:tcPr>
            <w:tcW w:type="dxa" w:w="4873"/>
          </w:tcPr>
          <w:p>
            <w:r>
              <w:rPr>
                <w:color w:val="6C7A94"/>
                <w:sz w:val="19"/>
              </w:rPr>
              <w:t>Ce qui est dans le lot, ce qui en est exclu, et la date de revue des exclusions</w:t>
            </w:r>
          </w:p>
        </w:tc>
      </w:tr>
      <w:tr>
        <w:tc>
          <w:tcPr>
            <w:tcW w:type="dxa" w:w="4873"/>
          </w:tcPr>
          <w:p>
            <w:r>
              <w:rPr>
                <w:sz w:val="19"/>
              </w:rPr>
              <w:t>Tranché le jour même</w:t>
            </w:r>
          </w:p>
        </w:tc>
        <w:tc>
          <w:tcPr>
            <w:tcW w:type="dxa" w:w="4873"/>
          </w:tcPr>
          <w:p>
            <w:r>
              <w:rPr>
                <w:color w:val="6C7A94"/>
                <w:sz w:val="19"/>
              </w:rPr>
              <w:t>[oui / action datée]</w:t>
            </w:r>
          </w:p>
        </w:tc>
      </w:tr>
    </w:tbl>
    <w:p/>
    <w:p>
      <w:pPr>
        <w:pStyle w:val="Heading2"/>
      </w:pPr>
      <w:r>
        <w:t>2. Rôles  (20 min)</w:t>
      </w:r>
    </w:p>
    <w:p>
      <w:r>
        <w:rPr>
          <w:b/>
          <w:sz w:val="19"/>
        </w:rPr>
        <w:t xml:space="preserve">Ce qu’on attend ici : </w:t>
      </w:r>
      <w:r>
        <w:rPr>
          <w:color w:val="6C7A94"/>
          <w:sz w:val="19"/>
        </w:rPr>
        <w:t>Qui décide sur le périmètre, qui valide les livrables, qui produit les contenus et les données, qui est le point de contact quotidien de chaque côté.</w:t>
      </w:r>
    </w:p>
    <w:tbl>
      <w:tblPr>
        <w:tblStyle w:val="TableGrid"/>
        <w:tblW w:type="auto" w:w="0"/>
        <w:tblLook w:firstColumn="1" w:firstRow="1" w:lastColumn="0" w:lastRow="0" w:noHBand="0" w:noVBand="1" w:val="04A0"/>
      </w:tblPr>
      <w:tblGrid>
        <w:gridCol w:w="4873"/>
        <w:gridCol w:w="4873"/>
      </w:tblGrid>
      <w:tr>
        <w:tc>
          <w:tcPr>
            <w:tcW w:type="dxa" w:w="4873"/>
            <w:shd w:val="clear" w:color="auto" w:fill="0A1C4A"/>
          </w:tcPr>
          <w:p>
            <w:r>
              <w:rPr>
                <w:b/>
                <w:color w:val="FFFFFF"/>
                <w:sz w:val="18"/>
              </w:rPr>
              <w:t>Élément</w:t>
            </w:r>
          </w:p>
        </w:tc>
        <w:tc>
          <w:tcPr>
            <w:tcW w:type="dxa" w:w="4873"/>
            <w:shd w:val="clear" w:color="auto" w:fill="0A1C4A"/>
          </w:tcPr>
          <w:p>
            <w:r>
              <w:rPr>
                <w:b/>
                <w:color w:val="FFFFFF"/>
                <w:sz w:val="18"/>
              </w:rPr>
              <w:t>À compléter</w:t>
            </w:r>
          </w:p>
        </w:tc>
      </w:tr>
      <w:tr>
        <w:tc>
          <w:tcPr>
            <w:tcW w:type="dxa" w:w="4873"/>
          </w:tcPr>
          <w:p>
            <w:r>
              <w:rPr>
                <w:sz w:val="19"/>
              </w:rPr>
              <w:t>La décision attendue</w:t>
            </w:r>
          </w:p>
        </w:tc>
        <w:tc>
          <w:tcPr>
            <w:tcW w:type="dxa" w:w="4873"/>
          </w:tcPr>
          <w:p>
            <w:r>
              <w:rPr>
                <w:color w:val="6C7A94"/>
                <w:sz w:val="19"/>
              </w:rPr>
              <w:t>Un décideur unique nommé, un contact quotidien de chaque côté</w:t>
            </w:r>
          </w:p>
        </w:tc>
      </w:tr>
      <w:tr>
        <w:tc>
          <w:tcPr>
            <w:tcW w:type="dxa" w:w="4873"/>
          </w:tcPr>
          <w:p>
            <w:r>
              <w:rPr>
                <w:sz w:val="19"/>
              </w:rPr>
              <w:t>Tranché le jour même</w:t>
            </w:r>
          </w:p>
        </w:tc>
        <w:tc>
          <w:tcPr>
            <w:tcW w:type="dxa" w:w="4873"/>
          </w:tcPr>
          <w:p>
            <w:r>
              <w:rPr>
                <w:color w:val="6C7A94"/>
                <w:sz w:val="19"/>
              </w:rPr>
              <w:t>[oui / action datée]</w:t>
            </w:r>
          </w:p>
        </w:tc>
      </w:tr>
    </w:tbl>
    <w:p/>
    <w:p>
      <w:pPr>
        <w:pStyle w:val="Heading2"/>
      </w:pPr>
      <w:r>
        <w:t>3. Calendrier et jalons  (25 min)</w:t>
      </w:r>
    </w:p>
    <w:p>
      <w:r>
        <w:rPr>
          <w:b/>
          <w:sz w:val="19"/>
        </w:rPr>
        <w:t xml:space="preserve">Ce qu’on attend ici : </w:t>
      </w:r>
      <w:r>
        <w:rPr>
          <w:color w:val="6C7A94"/>
          <w:sz w:val="19"/>
        </w:rPr>
        <w:t>Cinq à huit jalons nommés par leur livrable, avec la personne qui prononce le franchissement. Le délai de validation par les magasins d’applications en fait partie.</w:t>
      </w:r>
    </w:p>
    <w:tbl>
      <w:tblPr>
        <w:tblStyle w:val="TableGrid"/>
        <w:tblW w:type="auto" w:w="0"/>
        <w:tblLook w:firstColumn="1" w:firstRow="1" w:lastColumn="0" w:lastRow="0" w:noHBand="0" w:noVBand="1" w:val="04A0"/>
      </w:tblPr>
      <w:tblGrid>
        <w:gridCol w:w="4873"/>
        <w:gridCol w:w="4873"/>
      </w:tblGrid>
      <w:tr>
        <w:tc>
          <w:tcPr>
            <w:tcW w:type="dxa" w:w="4873"/>
            <w:shd w:val="clear" w:color="auto" w:fill="0A1C4A"/>
          </w:tcPr>
          <w:p>
            <w:r>
              <w:rPr>
                <w:b/>
                <w:color w:val="FFFFFF"/>
                <w:sz w:val="18"/>
              </w:rPr>
              <w:t>Élément</w:t>
            </w:r>
          </w:p>
        </w:tc>
        <w:tc>
          <w:tcPr>
            <w:tcW w:type="dxa" w:w="4873"/>
            <w:shd w:val="clear" w:color="auto" w:fill="0A1C4A"/>
          </w:tcPr>
          <w:p>
            <w:r>
              <w:rPr>
                <w:b/>
                <w:color w:val="FFFFFF"/>
                <w:sz w:val="18"/>
              </w:rPr>
              <w:t>À compléter</w:t>
            </w:r>
          </w:p>
        </w:tc>
      </w:tr>
      <w:tr>
        <w:tc>
          <w:tcPr>
            <w:tcW w:type="dxa" w:w="4873"/>
          </w:tcPr>
          <w:p>
            <w:r>
              <w:rPr>
                <w:sz w:val="19"/>
              </w:rPr>
              <w:t>La décision attendue</w:t>
            </w:r>
          </w:p>
        </w:tc>
        <w:tc>
          <w:tcPr>
            <w:tcW w:type="dxa" w:w="4873"/>
          </w:tcPr>
          <w:p>
            <w:r>
              <w:rPr>
                <w:color w:val="6C7A94"/>
                <w:sz w:val="19"/>
              </w:rPr>
              <w:t>Les jalons datés, avec leur valideur</w:t>
            </w:r>
          </w:p>
        </w:tc>
      </w:tr>
      <w:tr>
        <w:tc>
          <w:tcPr>
            <w:tcW w:type="dxa" w:w="4873"/>
          </w:tcPr>
          <w:p>
            <w:r>
              <w:rPr>
                <w:sz w:val="19"/>
              </w:rPr>
              <w:t>Tranché le jour même</w:t>
            </w:r>
          </w:p>
        </w:tc>
        <w:tc>
          <w:tcPr>
            <w:tcW w:type="dxa" w:w="4873"/>
          </w:tcPr>
          <w:p>
            <w:r>
              <w:rPr>
                <w:color w:val="6C7A94"/>
                <w:sz w:val="19"/>
              </w:rPr>
              <w:t>[oui / action datée]</w:t>
            </w:r>
          </w:p>
        </w:tc>
      </w:tr>
    </w:tbl>
    <w:p/>
    <w:p>
      <w:pPr>
        <w:pStyle w:val="Heading2"/>
      </w:pPr>
      <w:r>
        <w:t>4. Rituels et canaux  (20 min)</w:t>
      </w:r>
    </w:p>
    <w:p>
      <w:r>
        <w:rPr>
          <w:b/>
          <w:sz w:val="19"/>
        </w:rPr>
        <w:t xml:space="preserve">Ce qu’on attend ici : </w:t>
      </w:r>
      <w:r>
        <w:rPr>
          <w:color w:val="6C7A94"/>
          <w:sz w:val="19"/>
        </w:rPr>
        <w:t>Un point hebdomadaire à jour et heure fixes, un canal pour les questions courtes, un outil unique pour les anomalies. Trois décisions, pas davantage.</w:t>
      </w:r>
    </w:p>
    <w:tbl>
      <w:tblPr>
        <w:tblStyle w:val="TableGrid"/>
        <w:tblW w:type="auto" w:w="0"/>
        <w:tblLook w:firstColumn="1" w:firstRow="1" w:lastColumn="0" w:lastRow="0" w:noHBand="0" w:noVBand="1" w:val="04A0"/>
      </w:tblPr>
      <w:tblGrid>
        <w:gridCol w:w="4873"/>
        <w:gridCol w:w="4873"/>
      </w:tblGrid>
      <w:tr>
        <w:tc>
          <w:tcPr>
            <w:tcW w:type="dxa" w:w="4873"/>
            <w:shd w:val="clear" w:color="auto" w:fill="0A1C4A"/>
          </w:tcPr>
          <w:p>
            <w:r>
              <w:rPr>
                <w:b/>
                <w:color w:val="FFFFFF"/>
                <w:sz w:val="18"/>
              </w:rPr>
              <w:t>Élément</w:t>
            </w:r>
          </w:p>
        </w:tc>
        <w:tc>
          <w:tcPr>
            <w:tcW w:type="dxa" w:w="4873"/>
            <w:shd w:val="clear" w:color="auto" w:fill="0A1C4A"/>
          </w:tcPr>
          <w:p>
            <w:r>
              <w:rPr>
                <w:b/>
                <w:color w:val="FFFFFF"/>
                <w:sz w:val="18"/>
              </w:rPr>
              <w:t>À compléter</w:t>
            </w:r>
          </w:p>
        </w:tc>
      </w:tr>
      <w:tr>
        <w:tc>
          <w:tcPr>
            <w:tcW w:type="dxa" w:w="4873"/>
          </w:tcPr>
          <w:p>
            <w:r>
              <w:rPr>
                <w:sz w:val="19"/>
              </w:rPr>
              <w:t>La décision attendue</w:t>
            </w:r>
          </w:p>
        </w:tc>
        <w:tc>
          <w:tcPr>
            <w:tcW w:type="dxa" w:w="4873"/>
          </w:tcPr>
          <w:p>
            <w:r>
              <w:rPr>
                <w:color w:val="6C7A94"/>
                <w:sz w:val="19"/>
              </w:rPr>
              <w:t>Jour et heure du point, canal des questions, outil des anomalies</w:t>
            </w:r>
          </w:p>
        </w:tc>
      </w:tr>
      <w:tr>
        <w:tc>
          <w:tcPr>
            <w:tcW w:type="dxa" w:w="4873"/>
          </w:tcPr>
          <w:p>
            <w:r>
              <w:rPr>
                <w:sz w:val="19"/>
              </w:rPr>
              <w:t>Tranché le jour même</w:t>
            </w:r>
          </w:p>
        </w:tc>
        <w:tc>
          <w:tcPr>
            <w:tcW w:type="dxa" w:w="4873"/>
          </w:tcPr>
          <w:p>
            <w:r>
              <w:rPr>
                <w:color w:val="6C7A94"/>
                <w:sz w:val="19"/>
              </w:rPr>
              <w:t>[oui / action datée]</w:t>
            </w:r>
          </w:p>
        </w:tc>
      </w:tr>
    </w:tbl>
    <w:p/>
    <w:p>
      <w:pPr>
        <w:pStyle w:val="Heading2"/>
      </w:pPr>
      <w:r>
        <w:t>5. Critères de fin  (20 min)</w:t>
      </w:r>
    </w:p>
    <w:p>
      <w:r>
        <w:rPr>
          <w:b/>
          <w:sz w:val="19"/>
        </w:rPr>
        <w:t xml:space="preserve">Ce qu’on attend ici : </w:t>
      </w:r>
      <w:r>
        <w:rPr>
          <w:color w:val="6C7A94"/>
          <w:sz w:val="19"/>
        </w:rPr>
        <w:t>À quelles conditions le projet est terminé, livré et payé. C’est la section qui évite la discussion de fin de projet.</w:t>
      </w:r>
    </w:p>
    <w:tbl>
      <w:tblPr>
        <w:tblStyle w:val="TableGrid"/>
        <w:tblW w:type="auto" w:w="0"/>
        <w:tblLook w:firstColumn="1" w:firstRow="1" w:lastColumn="0" w:lastRow="0" w:noHBand="0" w:noVBand="1" w:val="04A0"/>
      </w:tblPr>
      <w:tblGrid>
        <w:gridCol w:w="4873"/>
        <w:gridCol w:w="4873"/>
      </w:tblGrid>
      <w:tr>
        <w:tc>
          <w:tcPr>
            <w:tcW w:type="dxa" w:w="4873"/>
            <w:shd w:val="clear" w:color="auto" w:fill="0A1C4A"/>
          </w:tcPr>
          <w:p>
            <w:r>
              <w:rPr>
                <w:b/>
                <w:color w:val="FFFFFF"/>
                <w:sz w:val="18"/>
              </w:rPr>
              <w:t>Élément</w:t>
            </w:r>
          </w:p>
        </w:tc>
        <w:tc>
          <w:tcPr>
            <w:tcW w:type="dxa" w:w="4873"/>
            <w:shd w:val="clear" w:color="auto" w:fill="0A1C4A"/>
          </w:tcPr>
          <w:p>
            <w:r>
              <w:rPr>
                <w:b/>
                <w:color w:val="FFFFFF"/>
                <w:sz w:val="18"/>
              </w:rPr>
              <w:t>À compléter</w:t>
            </w:r>
          </w:p>
        </w:tc>
      </w:tr>
      <w:tr>
        <w:tc>
          <w:tcPr>
            <w:tcW w:type="dxa" w:w="4873"/>
          </w:tcPr>
          <w:p>
            <w:r>
              <w:rPr>
                <w:sz w:val="19"/>
              </w:rPr>
              <w:t>La décision attendue</w:t>
            </w:r>
          </w:p>
        </w:tc>
        <w:tc>
          <w:tcPr>
            <w:tcW w:type="dxa" w:w="4873"/>
          </w:tcPr>
          <w:p>
            <w:r>
              <w:rPr>
                <w:color w:val="6C7A94"/>
                <w:sz w:val="19"/>
              </w:rPr>
              <w:t>La règle de décision de mise en production, écrite</w:t>
            </w:r>
          </w:p>
        </w:tc>
      </w:tr>
      <w:tr>
        <w:tc>
          <w:tcPr>
            <w:tcW w:type="dxa" w:w="4873"/>
          </w:tcPr>
          <w:p>
            <w:r>
              <w:rPr>
                <w:sz w:val="19"/>
              </w:rPr>
              <w:t>Tranché le jour même</w:t>
            </w:r>
          </w:p>
        </w:tc>
        <w:tc>
          <w:tcPr>
            <w:tcW w:type="dxa" w:w="4873"/>
          </w:tcPr>
          <w:p>
            <w:r>
              <w:rPr>
                <w:color w:val="6C7A94"/>
                <w:sz w:val="19"/>
              </w:rPr>
              <w:t>[oui / action datée]</w:t>
            </w:r>
          </w:p>
        </w:tc>
      </w:tr>
    </w:tbl>
    <w:p/>
    <w:p>
      <w:pPr>
        <w:pStyle w:val="Heading2"/>
      </w:pPr>
      <w:r>
        <w:t>6. Dépendances côté client  (15 min)</w:t>
      </w:r>
    </w:p>
    <w:p>
      <w:r>
        <w:rPr>
          <w:b/>
          <w:sz w:val="19"/>
        </w:rPr>
        <w:t xml:space="preserve">Ce qu’on attend ici : </w:t>
      </w:r>
      <w:r>
        <w:rPr>
          <w:color w:val="6C7A94"/>
          <w:sz w:val="19"/>
        </w:rPr>
        <w:t>Contenus, visuels, accès aux systèmes existants, comptes de publication, données de test, personnes disponibles pour valider. C’est là que la moitié des retards se joue.</w:t>
      </w:r>
    </w:p>
    <w:tbl>
      <w:tblPr>
        <w:tblStyle w:val="TableGrid"/>
        <w:tblW w:type="auto" w:w="0"/>
        <w:tblLook w:firstColumn="1" w:firstRow="1" w:lastColumn="0" w:lastRow="0" w:noHBand="0" w:noVBand="1" w:val="04A0"/>
      </w:tblPr>
      <w:tblGrid>
        <w:gridCol w:w="4873"/>
        <w:gridCol w:w="4873"/>
      </w:tblGrid>
      <w:tr>
        <w:tc>
          <w:tcPr>
            <w:tcW w:type="dxa" w:w="4873"/>
            <w:shd w:val="clear" w:color="auto" w:fill="0A1C4A"/>
          </w:tcPr>
          <w:p>
            <w:r>
              <w:rPr>
                <w:b/>
                <w:color w:val="FFFFFF"/>
                <w:sz w:val="18"/>
              </w:rPr>
              <w:t>Élément</w:t>
            </w:r>
          </w:p>
        </w:tc>
        <w:tc>
          <w:tcPr>
            <w:tcW w:type="dxa" w:w="4873"/>
            <w:shd w:val="clear" w:color="auto" w:fill="0A1C4A"/>
          </w:tcPr>
          <w:p>
            <w:r>
              <w:rPr>
                <w:b/>
                <w:color w:val="FFFFFF"/>
                <w:sz w:val="18"/>
              </w:rPr>
              <w:t>À compléter</w:t>
            </w:r>
          </w:p>
        </w:tc>
      </w:tr>
      <w:tr>
        <w:tc>
          <w:tcPr>
            <w:tcW w:type="dxa" w:w="4873"/>
          </w:tcPr>
          <w:p>
            <w:r>
              <w:rPr>
                <w:sz w:val="19"/>
              </w:rPr>
              <w:t>La décision attendue</w:t>
            </w:r>
          </w:p>
        </w:tc>
        <w:tc>
          <w:tcPr>
            <w:tcW w:type="dxa" w:w="4873"/>
          </w:tcPr>
          <w:p>
            <w:r>
              <w:rPr>
                <w:color w:val="6C7A94"/>
                <w:sz w:val="19"/>
              </w:rPr>
              <w:t>Ce que le client fournit, à quelle date, et qui s’en charge</w:t>
            </w:r>
          </w:p>
        </w:tc>
      </w:tr>
      <w:tr>
        <w:tc>
          <w:tcPr>
            <w:tcW w:type="dxa" w:w="4873"/>
          </w:tcPr>
          <w:p>
            <w:r>
              <w:rPr>
                <w:sz w:val="19"/>
              </w:rPr>
              <w:t>Tranché le jour même</w:t>
            </w:r>
          </w:p>
        </w:tc>
        <w:tc>
          <w:tcPr>
            <w:tcW w:type="dxa" w:w="4873"/>
          </w:tcPr>
          <w:p>
            <w:r>
              <w:rPr>
                <w:color w:val="6C7A94"/>
                <w:sz w:val="19"/>
              </w:rPr>
              <w:t>[oui / action datée]</w:t>
            </w:r>
          </w:p>
        </w:tc>
      </w:tr>
    </w:tbl>
    <w:p/>
    <w:p>
      <w:r>
        <w:br w:type="page"/>
      </w:r>
    </w:p>
    <w:p>
      <w:pPr>
        <w:pStyle w:val="Heading1"/>
      </w:pPr>
      <w:r>
        <w:t>Partie 2 · La trame de compte rendu</w:t>
      </w:r>
    </w:p>
    <w:p>
      <w:r>
        <w:t>Une décision par ligne, avec son porteur et sa date. Ce qui n’a pas pu être tranché part en action datée, jamais en « à voir ».</w:t>
      </w:r>
    </w:p>
    <w:tbl>
      <w:tblPr>
        <w:tblStyle w:val="TableGrid"/>
        <w:tblW w:type="auto" w:w="0"/>
        <w:tblLook w:firstColumn="1" w:firstRow="1" w:lastColumn="0" w:lastRow="0" w:noHBand="0" w:noVBand="1" w:val="04A0"/>
      </w:tblPr>
      <w:tblGrid>
        <w:gridCol w:w="4873"/>
        <w:gridCol w:w="4873"/>
      </w:tblGrid>
      <w:tr>
        <w:tc>
          <w:tcPr>
            <w:tcW w:type="dxa" w:w="4873"/>
            <w:shd w:val="clear" w:color="auto" w:fill="0A1C4A"/>
          </w:tcPr>
          <w:p>
            <w:r>
              <w:rPr>
                <w:b/>
                <w:color w:val="FFFFFF"/>
                <w:sz w:val="18"/>
              </w:rPr>
              <w:t>Point</w:t>
            </w:r>
          </w:p>
        </w:tc>
        <w:tc>
          <w:tcPr>
            <w:tcW w:type="dxa" w:w="4873"/>
            <w:shd w:val="clear" w:color="auto" w:fill="0A1C4A"/>
          </w:tcPr>
          <w:p>
            <w:r>
              <w:rPr>
                <w:b/>
                <w:color w:val="FFFFFF"/>
                <w:sz w:val="18"/>
              </w:rPr>
              <w:t>Décision prise, porteur, date</w:t>
            </w:r>
          </w:p>
        </w:tc>
      </w:tr>
      <w:tr>
        <w:tc>
          <w:tcPr>
            <w:tcW w:type="dxa" w:w="4873"/>
          </w:tcPr>
          <w:p>
            <w:r>
              <w:rPr>
                <w:b/>
                <w:sz w:val="19"/>
              </w:rPr>
              <w:t>Périmètre confirmé</w:t>
            </w:r>
          </w:p>
        </w:tc>
        <w:tc>
          <w:tcPr>
            <w:tcW w:type="dxa" w:w="4873"/>
          </w:tcPr>
          <w:p>
            <w:r>
              <w:rPr>
                <w:color w:val="6C7A94"/>
                <w:sz w:val="19"/>
              </w:rPr>
              <w:t>[à compléter]</w:t>
            </w:r>
          </w:p>
        </w:tc>
      </w:tr>
      <w:tr>
        <w:tc>
          <w:tcPr>
            <w:tcW w:type="dxa" w:w="4873"/>
          </w:tcPr>
          <w:p>
            <w:r>
              <w:rPr>
                <w:b/>
                <w:sz w:val="19"/>
              </w:rPr>
              <w:t>Rôles</w:t>
            </w:r>
          </w:p>
        </w:tc>
        <w:tc>
          <w:tcPr>
            <w:tcW w:type="dxa" w:w="4873"/>
          </w:tcPr>
          <w:p>
            <w:r>
              <w:rPr>
                <w:color w:val="6C7A94"/>
                <w:sz w:val="19"/>
              </w:rPr>
              <w:t>[à compléter]</w:t>
            </w:r>
          </w:p>
        </w:tc>
      </w:tr>
      <w:tr>
        <w:tc>
          <w:tcPr>
            <w:tcW w:type="dxa" w:w="4873"/>
          </w:tcPr>
          <w:p>
            <w:r>
              <w:rPr>
                <w:b/>
                <w:sz w:val="19"/>
              </w:rPr>
              <w:t>Calendrier et jalons</w:t>
            </w:r>
          </w:p>
        </w:tc>
        <w:tc>
          <w:tcPr>
            <w:tcW w:type="dxa" w:w="4873"/>
          </w:tcPr>
          <w:p>
            <w:r>
              <w:rPr>
                <w:color w:val="6C7A94"/>
                <w:sz w:val="19"/>
              </w:rPr>
              <w:t>[à compléter]</w:t>
            </w:r>
          </w:p>
        </w:tc>
      </w:tr>
      <w:tr>
        <w:tc>
          <w:tcPr>
            <w:tcW w:type="dxa" w:w="4873"/>
          </w:tcPr>
          <w:p>
            <w:r>
              <w:rPr>
                <w:b/>
                <w:sz w:val="19"/>
              </w:rPr>
              <w:t>Rituels et canaux</w:t>
            </w:r>
          </w:p>
        </w:tc>
        <w:tc>
          <w:tcPr>
            <w:tcW w:type="dxa" w:w="4873"/>
          </w:tcPr>
          <w:p>
            <w:r>
              <w:rPr>
                <w:color w:val="6C7A94"/>
                <w:sz w:val="19"/>
              </w:rPr>
              <w:t>[à compléter]</w:t>
            </w:r>
          </w:p>
        </w:tc>
      </w:tr>
      <w:tr>
        <w:tc>
          <w:tcPr>
            <w:tcW w:type="dxa" w:w="4873"/>
          </w:tcPr>
          <w:p>
            <w:r>
              <w:rPr>
                <w:b/>
                <w:sz w:val="19"/>
              </w:rPr>
              <w:t>Critères de fin</w:t>
            </w:r>
          </w:p>
        </w:tc>
        <w:tc>
          <w:tcPr>
            <w:tcW w:type="dxa" w:w="4873"/>
          </w:tcPr>
          <w:p>
            <w:r>
              <w:rPr>
                <w:color w:val="6C7A94"/>
                <w:sz w:val="19"/>
              </w:rPr>
              <w:t>[à compléter]</w:t>
            </w:r>
          </w:p>
        </w:tc>
      </w:tr>
      <w:tr>
        <w:tc>
          <w:tcPr>
            <w:tcW w:type="dxa" w:w="4873"/>
          </w:tcPr>
          <w:p>
            <w:r>
              <w:rPr>
                <w:b/>
                <w:sz w:val="19"/>
              </w:rPr>
              <w:t>Dépendances côté client</w:t>
            </w:r>
          </w:p>
        </w:tc>
        <w:tc>
          <w:tcPr>
            <w:tcW w:type="dxa" w:w="4873"/>
          </w:tcPr>
          <w:p>
            <w:r>
              <w:rPr>
                <w:color w:val="6C7A94"/>
                <w:sz w:val="19"/>
              </w:rPr>
              <w:t>[à compléter]</w:t>
            </w:r>
          </w:p>
        </w:tc>
      </w:tr>
    </w:tbl>
    <w:p/>
    <w:tbl>
      <w:tblPr>
        <w:tblW w:type="auto" w:w="0"/>
        <w:jc w:val="center"/>
        <w:tblLook w:firstColumn="1" w:firstRow="1" w:lastColumn="0" w:lastRow="0" w:noHBand="0" w:noVBand="1" w:val="04A0"/>
      </w:tblPr>
      <w:tblGrid>
        <w:gridCol w:w="9746"/>
      </w:tblGrid>
      <w:tr>
        <w:tc>
          <w:tcPr>
            <w:tcW w:type="dxa" w:w="9746"/>
            <w:shd w:val="clear" w:color="auto" w:fill="F4F6FB"/>
          </w:tcPr>
          <w:p>
            <w:r>
              <w:rPr>
                <w:b/>
                <w:color w:val="154CE4"/>
                <w:sz w:val="19"/>
              </w:rPr>
              <w:t>Actions ouvertes</w:t>
            </w:r>
          </w:p>
          <w:p>
            <w:r>
              <w:rPr>
                <w:sz w:val="19"/>
              </w:rPr>
              <w:t>Une ligne par point non tranché : l’action, le porteur nommé, l’échéance. Un point sans porteur ni date n’est pas une action, c’est un regret.</w:t>
            </w:r>
          </w:p>
        </w:tc>
      </w:tr>
    </w:tbl>
    <w:p/>
    <w:tbl>
      <w:tblPr>
        <w:tblW w:type="auto" w:w="0"/>
        <w:jc w:val="center"/>
        <w:tblLook w:firstColumn="1" w:firstRow="1" w:lastColumn="0" w:lastRow="0" w:noHBand="0" w:noVBand="1" w:val="04A0"/>
      </w:tblPr>
      <w:tblGrid>
        <w:gridCol w:w="9746"/>
      </w:tblGrid>
      <w:tr>
        <w:tc>
          <w:tcPr>
            <w:tcW w:type="dxa" w:w="9746"/>
            <w:shd w:val="clear" w:color="auto" w:fill="EEF3FF"/>
          </w:tcPr>
          <w:p>
            <w:r>
              <w:rPr>
                <w:b/>
                <w:color w:val="154CE4"/>
                <w:sz w:val="19"/>
              </w:rPr>
              <w:t>Dépendances côté client</w:t>
            </w:r>
          </w:p>
          <w:p>
            <w:r>
              <w:rPr>
                <w:sz w:val="19"/>
              </w:rPr>
              <w:t>Contenus, visuels, accès aux systèmes, comptes de publication, données de test, personnes disponibles pour valider. Chacune avec sa date. Les comptes de publication se lancent le jour même : leur délai est administratif et ne se rattrape pas.</w:t>
            </w:r>
          </w:p>
        </w:tc>
      </w:tr>
    </w:tbl>
    <w:p/>
    <w:p>
      <w:r>
        <w:br w:type="page"/>
      </w:r>
    </w:p>
    <w:p>
      <w:pPr>
        <w:pStyle w:val="Heading1"/>
      </w:pPr>
      <w:r>
        <w:t>Annexe · le compte rendu rempli (cas fictif Rondo)</w:t>
      </w:r>
    </w:p>
    <w:p>
      <w:r>
        <w:t>Cas d’école fictif. Rondo est une application inventée pour la démonstration : un réseau de 62 boulangeries indépendantes qui veut proposer la commande à l’avance et une carte de fidélité dématérialisée. Ce réseau n’existe pas, et les chiffres qui l’accompagnent illustrent une méthode de mesure, pas une référence de marché.</w:t>
      </w:r>
    </w:p>
    <w:tbl>
      <w:tblPr>
        <w:tblStyle w:val="TableGrid"/>
        <w:tblW w:type="auto" w:w="0"/>
        <w:tblLook w:firstColumn="1" w:firstRow="1" w:lastColumn="0" w:lastRow="0" w:noHBand="0" w:noVBand="1" w:val="04A0"/>
      </w:tblPr>
      <w:tblGrid>
        <w:gridCol w:w="4873"/>
        <w:gridCol w:w="4873"/>
      </w:tblGrid>
      <w:tr>
        <w:tc>
          <w:tcPr>
            <w:tcW w:type="dxa" w:w="4873"/>
            <w:shd w:val="clear" w:color="auto" w:fill="0A1C4A"/>
          </w:tcPr>
          <w:p>
            <w:r>
              <w:rPr>
                <w:b/>
                <w:color w:val="FFFFFF"/>
                <w:sz w:val="18"/>
              </w:rPr>
              <w:t>Section</w:t>
            </w:r>
          </w:p>
        </w:tc>
        <w:tc>
          <w:tcPr>
            <w:tcW w:type="dxa" w:w="4873"/>
            <w:shd w:val="clear" w:color="auto" w:fill="0A1C4A"/>
          </w:tcPr>
          <w:p>
            <w:r>
              <w:rPr>
                <w:b/>
                <w:color w:val="FFFFFF"/>
                <w:sz w:val="18"/>
              </w:rPr>
              <w:t>Contenu</w:t>
            </w:r>
          </w:p>
        </w:tc>
      </w:tr>
      <w:tr>
        <w:tc>
          <w:tcPr>
            <w:tcW w:type="dxa" w:w="4873"/>
          </w:tcPr>
          <w:p>
            <w:r>
              <w:rPr>
                <w:b/>
                <w:sz w:val="19"/>
              </w:rPr>
              <w:t>Périmètre confirmé</w:t>
            </w:r>
          </w:p>
        </w:tc>
        <w:tc>
          <w:tcPr>
            <w:tcW w:type="dxa" w:w="4873"/>
          </w:tcPr>
          <w:p>
            <w:r>
              <w:rPr>
                <w:sz w:val="19"/>
              </w:rPr>
              <w:t>Catalogue par boutique, commande à l’avance avec créneau, paiement en ligne, fidélité à points, notification de retrait, écran boutique. Exclus et rappelés à voix haute : livraison à domicile, abonnement, parrainage, version tablette de comptoir, langues étrangères. Revue au comité de janvier.</w:t>
            </w:r>
          </w:p>
        </w:tc>
      </w:tr>
      <w:tr>
        <w:tc>
          <w:tcPr>
            <w:tcW w:type="dxa" w:w="4873"/>
          </w:tcPr>
          <w:p>
            <w:r>
              <w:rPr>
                <w:b/>
                <w:sz w:val="19"/>
              </w:rPr>
              <w:t>Rôles</w:t>
            </w:r>
          </w:p>
        </w:tc>
        <w:tc>
          <w:tcPr>
            <w:tcW w:type="dxa" w:w="4873"/>
          </w:tcPr>
          <w:p>
            <w:r>
              <w:rPr>
                <w:sz w:val="19"/>
              </w:rPr>
              <w:t>Décide : le responsable du réseau, seul, sur le périmètre et le budget. Contact quotidien côté client : la référente de la boutique de la place du Marché. Responsable du projet côté prestataire : nommé. Technique côté client : le prestataire de la caisse, une demi-journée par semaine.</w:t>
            </w:r>
          </w:p>
        </w:tc>
      </w:tr>
      <w:tr>
        <w:tc>
          <w:tcPr>
            <w:tcW w:type="dxa" w:w="4873"/>
          </w:tcPr>
          <w:p>
            <w:r>
              <w:rPr>
                <w:b/>
                <w:sz w:val="19"/>
              </w:rPr>
              <w:t>Calendrier et jalons</w:t>
            </w:r>
          </w:p>
        </w:tc>
        <w:tc>
          <w:tcPr>
            <w:tcW w:type="dxa" w:w="4873"/>
          </w:tcPr>
          <w:p>
            <w:r>
              <w:rPr>
                <w:sz w:val="19"/>
              </w:rPr>
              <w:t>Maquettes validées en semaine 25, version pilote sur 6 boutiques en semaine 34, ouverture au réseau en semaine 40. Le délai de validation par les magasins est compté dans le jalon de la semaine 34. Franchissement prononcé par le responsable du réseau, sauf les maquettes, validées par les six référents pilotes.</w:t>
            </w:r>
          </w:p>
        </w:tc>
      </w:tr>
      <w:tr>
        <w:tc>
          <w:tcPr>
            <w:tcW w:type="dxa" w:w="4873"/>
          </w:tcPr>
          <w:p>
            <w:r>
              <w:rPr>
                <w:b/>
                <w:sz w:val="19"/>
              </w:rPr>
              <w:t>Rituels et canaux</w:t>
            </w:r>
          </w:p>
        </w:tc>
        <w:tc>
          <w:tcPr>
            <w:tcW w:type="dxa" w:w="4873"/>
          </w:tcPr>
          <w:p>
            <w:r>
              <w:rPr>
                <w:sz w:val="19"/>
              </w:rPr>
              <w:t>Point hebdomadaire le mardi à 9 h, 30 minutes, ordre du jour fixe. Questions courtes sur un canal unique. Anomalies dans un seul outil, jamais par courriel. Aucune décision de périmètre prise en dehors du point hebdomadaire.</w:t>
            </w:r>
          </w:p>
        </w:tc>
      </w:tr>
      <w:tr>
        <w:tc>
          <w:tcPr>
            <w:tcW w:type="dxa" w:w="4873"/>
          </w:tcPr>
          <w:p>
            <w:r>
              <w:rPr>
                <w:b/>
                <w:sz w:val="19"/>
              </w:rPr>
              <w:t>Critères de fin</w:t>
            </w:r>
          </w:p>
        </w:tc>
        <w:tc>
          <w:tcPr>
            <w:tcW w:type="dxa" w:w="4873"/>
          </w:tcPr>
          <w:p>
            <w:r>
              <w:rPr>
                <w:sz w:val="19"/>
              </w:rPr>
              <w:t>Plan de test validé, zéro cas bloquant ouvert, cas majeurs tracés avec une date. Documentation et accès remis. Comptes de publication au nom de la société. Garantie de trois mois annoncée au contrat.</w:t>
            </w:r>
          </w:p>
        </w:tc>
      </w:tr>
      <w:tr>
        <w:tc>
          <w:tcPr>
            <w:tcW w:type="dxa" w:w="4873"/>
          </w:tcPr>
          <w:p>
            <w:r>
              <w:rPr>
                <w:b/>
                <w:sz w:val="19"/>
              </w:rPr>
              <w:t>Dépendances côté client</w:t>
            </w:r>
          </w:p>
        </w:tc>
        <w:tc>
          <w:tcPr>
            <w:tcW w:type="dxa" w:w="4873"/>
          </w:tcPr>
          <w:p>
            <w:r>
              <w:rPr>
                <w:sz w:val="19"/>
              </w:rPr>
              <w:t>Catalogues des 6 boutiques pilotes pour la semaine 22. Accès en lecture à la caisse pour la semaine 20. Ouverture des comptes de publication lancée le jour même, délai annoncé de 3 à 6 semaines. Deux téléphones de test fournis.</w:t>
            </w:r>
          </w:p>
        </w:tc>
      </w:tr>
      <w:tr>
        <w:tc>
          <w:tcPr>
            <w:tcW w:type="dxa" w:w="4873"/>
          </w:tcPr>
          <w:p>
            <w:r>
              <w:rPr>
                <w:b/>
                <w:sz w:val="19"/>
              </w:rPr>
              <w:t>Actions ouvertes</w:t>
            </w:r>
          </w:p>
        </w:tc>
        <w:tc>
          <w:tcPr>
            <w:tcW w:type="dxa" w:w="4873"/>
          </w:tcPr>
          <w:p>
            <w:r>
              <w:rPr>
                <w:sz w:val="19"/>
              </w:rPr>
              <w:t>Choix du prestataire de paiement : trois offres à comparer, porteur le service comptable, échéance semaine 21. Politique de remboursement en cas de rupture : porteur le responsable du réseau, échéance semaine 22.</w:t>
            </w:r>
          </w:p>
        </w:tc>
      </w:tr>
    </w:tbl>
    <w:sectPr w:rsidR="00FC693F" w:rsidRPr="0006063C" w:rsidSect="00034616">
      <w:footerReference w:type="default" r:id="rId9"/>
      <w:pgSz w:w="12240" w:h="15840"/>
      <w:pgMar w:top="1247" w:right="1247" w:bottom="1134" w:left="124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6C7A94"/>
        <w:sz w:val="16"/>
      </w:rPr>
      <w:t>agenceapplicationmobile.fr · modèle libre d’usage, y compris pour un projet commercial</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76" w:lineRule="auto"/>
    </w:pPr>
    <w:rPr>
      <w:rFonts w:ascii="Calibri" w:hAnsi="Calibri"/>
      <w:color w:val="1E2A42"/>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Calibri" w:hAnsi="Calibri"/>
      <w:b/>
      <w:bCs/>
      <w:color w:val="0A1C4A"/>
      <w:sz w:val="36"/>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Calibri" w:hAnsi="Calibri"/>
      <w:b/>
      <w:bCs/>
      <w:color w:val="154CE4"/>
      <w:sz w:val="28"/>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Calibri" w:hAnsi="Calibri"/>
      <w:b/>
      <w:bCs/>
      <w:color w:val="0A1C4A"/>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