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54CE4"/>
          <w:sz w:val="16"/>
        </w:rPr>
        <w:t>AGENCEAPPLICATIONMOBILE.FR</w:t>
      </w:r>
    </w:p>
    <w:p>
      <w:pPr>
        <w:pStyle w:val="Heading1"/>
      </w:pPr>
      <w:r>
        <w:t>Cadre de la campagne de tests</w:t>
      </w:r>
    </w:p>
    <w:p>
      <w:r>
        <w:rPr>
          <w:color w:val="6C7A94"/>
          <w:sz w:val="23"/>
        </w:rPr>
        <w:t>Ce qu’on vérifie, sur quoi, par qui, et à quelles conditions on livre</w:t>
      </w:r>
    </w:p>
    <w:p>
      <w:r>
        <w:t>Le tableur porte les cas, ce document porte le cadre. Deux pages, écrites une fois, qui resserviront à chaque version : périmètre, parc d’appareils, données de test, rôles, gestion des écarts et règle de décision.</w:t>
      </w:r>
    </w:p>
    <w:tbl>
      <w:tblPr>
        <w:tblW w:type="auto" w:w="0"/>
        <w:jc w:val="center"/>
        <w:tblLook w:firstColumn="1" w:firstRow="1" w:lastColumn="0" w:lastRow="0" w:noHBand="0" w:noVBand="1" w:val="04A0"/>
      </w:tblPr>
      <w:tblGrid>
        <w:gridCol w:w="9746"/>
      </w:tblGrid>
      <w:tr>
        <w:tc>
          <w:tcPr>
            <w:tcW w:type="dxa" w:w="9746"/>
            <w:shd w:val="clear" w:color="auto" w:fill="F4F6FB"/>
          </w:tcPr>
          <w:p>
            <w:r>
              <w:rPr>
                <w:b/>
                <w:color w:val="154CE4"/>
                <w:sz w:val="19"/>
              </w:rPr>
              <w:t>Mode d’emploi</w:t>
            </w:r>
          </w:p>
          <w:p>
            <w:r>
              <w:rPr>
                <w:sz w:val="19"/>
              </w:rPr>
              <w:t>À remplir avant la première campagne et à faire valider par le client et le prestataire. La section 6 est la plus importante : écrite avant, elle évite que la mise en production se décide à l’ambiance un vendredi soir.</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Le cas d’école</w:t>
            </w:r>
          </w:p>
          <w:p>
            <w:r>
              <w:rPr>
                <w:sz w:val="19"/>
              </w:rPr>
              <w:t>Cas d’école fictif. Rondo est une application inventée pour la démonstration : un réseau de 62 boulangeries indépendantes qui veut proposer la commande à l’avance et une carte de fidélité dématérialisée. Ce réseau n’existe pas, et les chiffres qui l’accompagnent illustrent une méthode de mesure, pas une référence de marché.</w:t>
            </w:r>
          </w:p>
        </w:tc>
      </w:tr>
    </w:tbl>
    <w:p/>
    <w:p/>
    <w:p>
      <w:pPr>
        <w:pStyle w:val="Heading2"/>
      </w:pPr>
      <w:r>
        <w:t>1. Périmètre de la campagne</w:t>
      </w:r>
    </w:p>
    <w:p>
      <w:r>
        <w:rPr>
          <w:b/>
          <w:sz w:val="19"/>
        </w:rPr>
        <w:t xml:space="preserve">Ce qu’on attend ici : </w:t>
      </w:r>
      <w:r>
        <w:rPr>
          <w:color w:val="6C7A94"/>
          <w:sz w:val="19"/>
        </w:rPr>
        <w:t>ce qui est vérifié et ce qui ne l’est pas. Une campagne sans périmètre écrit s’étale jusqu’à épuisement.</w:t>
      </w:r>
    </w:p>
    <w:p>
      <w:r>
        <w:t>Les points à couvrir :</w:t>
      </w:r>
    </w:p>
    <w:p>
      <w:pPr>
        <w:pStyle w:val="ListBullet"/>
      </w:pPr>
      <w:r>
        <w:t>Les modules couverts, et la version de l’application concernée.</w:t>
      </w:r>
    </w:p>
    <w:p>
      <w:pPr>
        <w:pStyle w:val="ListBullet"/>
      </w:pPr>
      <w:r>
        <w:t>Ce qui est explicitement hors campagne, et pourquoi.</w:t>
      </w:r>
    </w:p>
    <w:p>
      <w:pPr>
        <w:pStyle w:val="ListBullet"/>
      </w:pPr>
      <w:r>
        <w:t>Les cas repris de la campagne précédente, quand il y en a une.</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Version testée</w:t>
            </w:r>
          </w:p>
        </w:tc>
        <w:tc>
          <w:tcPr>
            <w:tcW w:type="dxa" w:w="4873"/>
          </w:tcPr>
          <w:p>
            <w:r>
              <w:rPr>
                <w:color w:val="6C7A94"/>
                <w:sz w:val="19"/>
              </w:rPr>
              <w:t>[numéro de version et de build]</w:t>
            </w:r>
          </w:p>
        </w:tc>
      </w:tr>
      <w:tr>
        <w:tc>
          <w:tcPr>
            <w:tcW w:type="dxa" w:w="4873"/>
          </w:tcPr>
          <w:p>
            <w:r>
              <w:rPr>
                <w:sz w:val="19"/>
              </w:rPr>
              <w:t>Modules couverts</w:t>
            </w:r>
          </w:p>
        </w:tc>
        <w:tc>
          <w:tcPr>
            <w:tcW w:type="dxa" w:w="4873"/>
          </w:tcPr>
          <w:p>
            <w:r>
              <w:rPr>
                <w:color w:val="6C7A94"/>
                <w:sz w:val="19"/>
              </w:rPr>
              <w:t>[.]</w:t>
            </w:r>
          </w:p>
        </w:tc>
      </w:tr>
      <w:tr>
        <w:tc>
          <w:tcPr>
            <w:tcW w:type="dxa" w:w="4873"/>
          </w:tcPr>
          <w:p>
            <w:r>
              <w:rPr>
                <w:sz w:val="19"/>
              </w:rPr>
              <w:t>Hors campagne</w:t>
            </w:r>
          </w:p>
        </w:tc>
        <w:tc>
          <w:tcPr>
            <w:tcW w:type="dxa" w:w="4873"/>
          </w:tcPr>
          <w:p>
            <w:r>
              <w:rPr>
                <w:color w:val="6C7A94"/>
                <w:sz w:val="19"/>
              </w:rPr>
              <w:t>[.]</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Version 1.0.0, build 142. Modules couverts : inscription, catalogue, commande, paiement, retrait, fidélité, compte, écran boutique. Hors campagne : le tableau de bord du siège, livré au lot suivant.</w:t>
            </w:r>
          </w:p>
        </w:tc>
      </w:tr>
    </w:tbl>
    <w:p/>
    <w:p>
      <w:pPr>
        <w:pStyle w:val="Heading2"/>
      </w:pPr>
      <w:r>
        <w:t>2. Parc d’appareils</w:t>
      </w:r>
    </w:p>
    <w:p>
      <w:r>
        <w:rPr>
          <w:b/>
          <w:sz w:val="19"/>
        </w:rPr>
        <w:t xml:space="preserve">Ce qu’on attend ici : </w:t>
      </w:r>
      <w:r>
        <w:rPr>
          <w:color w:val="6C7A94"/>
          <w:sz w:val="19"/>
        </w:rPr>
        <w:t>cinq combinaisons choisies à l’avance suffisent dans la plupart des projets. Elles se décident avec des chiffres d’audience, pas par confort.</w:t>
      </w:r>
    </w:p>
    <w:p>
      <w:r>
        <w:t>Les points à couvrir :</w:t>
      </w:r>
    </w:p>
    <w:p>
      <w:pPr>
        <w:pStyle w:val="ListBullet"/>
      </w:pPr>
      <w:r>
        <w:t>Les deux modèles les plus représentés chez vos utilisateurs réels.</w:t>
      </w:r>
    </w:p>
    <w:p>
      <w:pPr>
        <w:pStyle w:val="ListBullet"/>
      </w:pPr>
      <w:r>
        <w:t>La version de système la plus ancienne que vous annoncez supporter.</w:t>
      </w:r>
    </w:p>
    <w:p>
      <w:pPr>
        <w:pStyle w:val="ListBullet"/>
      </w:pPr>
      <w:r>
        <w:t>Un appareil à petit écran et un appareil à grand écran.</w:t>
      </w:r>
    </w:p>
    <w:p>
      <w:pPr>
        <w:pStyle w:val="ListBullet"/>
      </w:pPr>
      <w:r>
        <w:t>Qui fournit chaque appareil, et où il est rangé.</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Appareil 1</w:t>
            </w:r>
          </w:p>
        </w:tc>
        <w:tc>
          <w:tcPr>
            <w:tcW w:type="dxa" w:w="4873"/>
          </w:tcPr>
          <w:p>
            <w:r>
              <w:rPr>
                <w:color w:val="6C7A94"/>
                <w:sz w:val="19"/>
              </w:rPr>
              <w:t>[modèle] · [version du système] · fourni par [.]</w:t>
            </w:r>
          </w:p>
        </w:tc>
      </w:tr>
      <w:tr>
        <w:tc>
          <w:tcPr>
            <w:tcW w:type="dxa" w:w="4873"/>
          </w:tcPr>
          <w:p>
            <w:r>
              <w:rPr>
                <w:sz w:val="19"/>
              </w:rPr>
              <w:t>Appareil 2</w:t>
            </w:r>
          </w:p>
        </w:tc>
        <w:tc>
          <w:tcPr>
            <w:tcW w:type="dxa" w:w="4873"/>
          </w:tcPr>
          <w:p>
            <w:r>
              <w:rPr>
                <w:color w:val="6C7A94"/>
                <w:sz w:val="19"/>
              </w:rPr>
              <w:t>[.]</w:t>
            </w:r>
          </w:p>
        </w:tc>
      </w:tr>
      <w:tr>
        <w:tc>
          <w:tcPr>
            <w:tcW w:type="dxa" w:w="4873"/>
          </w:tcPr>
          <w:p>
            <w:r>
              <w:rPr>
                <w:sz w:val="19"/>
              </w:rPr>
              <w:t>Appareil 3</w:t>
            </w:r>
          </w:p>
        </w:tc>
        <w:tc>
          <w:tcPr>
            <w:tcW w:type="dxa" w:w="4873"/>
          </w:tcPr>
          <w:p>
            <w:r>
              <w:rPr>
                <w:color w:val="6C7A94"/>
                <w:sz w:val="19"/>
              </w:rPr>
              <w:t>[.]</w:t>
            </w:r>
          </w:p>
        </w:tc>
      </w:tr>
      <w:tr>
        <w:tc>
          <w:tcPr>
            <w:tcW w:type="dxa" w:w="4873"/>
          </w:tcPr>
          <w:p>
            <w:r>
              <w:rPr>
                <w:sz w:val="19"/>
              </w:rPr>
              <w:t>Appareil 4</w:t>
            </w:r>
          </w:p>
        </w:tc>
        <w:tc>
          <w:tcPr>
            <w:tcW w:type="dxa" w:w="4873"/>
          </w:tcPr>
          <w:p>
            <w:r>
              <w:rPr>
                <w:color w:val="6C7A94"/>
                <w:sz w:val="19"/>
              </w:rPr>
              <w:t>[.]</w:t>
            </w:r>
          </w:p>
        </w:tc>
      </w:tr>
      <w:tr>
        <w:tc>
          <w:tcPr>
            <w:tcW w:type="dxa" w:w="4873"/>
          </w:tcPr>
          <w:p>
            <w:r>
              <w:rPr>
                <w:sz w:val="19"/>
              </w:rPr>
              <w:t>Appareil 5</w:t>
            </w:r>
          </w:p>
        </w:tc>
        <w:tc>
          <w:tcPr>
            <w:tcW w:type="dxa" w:w="4873"/>
          </w:tcPr>
          <w:p>
            <w:r>
              <w:rPr>
                <w:color w:val="6C7A94"/>
                <w:sz w:val="19"/>
              </w:rPr>
              <w:t>[.]</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Cinq combinaisons retenues, couvrant la version la plus ancienne annoncée (iOS 16 et Android 10), deux modèles courants du parc client, un petit écran et un grand écran. Deux téléphones fournis par le réseau, trois par le prestataire.</w:t>
            </w:r>
          </w:p>
        </w:tc>
      </w:tr>
    </w:tbl>
    <w:p/>
    <w:p>
      <w:pPr>
        <w:pStyle w:val="Heading2"/>
      </w:pPr>
      <w:r>
        <w:t>3. Données et comptes de test</w:t>
      </w:r>
    </w:p>
    <w:p>
      <w:r>
        <w:rPr>
          <w:b/>
          <w:sz w:val="19"/>
        </w:rPr>
        <w:t xml:space="preserve">Ce qu’on attend ici : </w:t>
      </w:r>
      <w:r>
        <w:rPr>
          <w:color w:val="6C7A94"/>
          <w:sz w:val="19"/>
        </w:rPr>
        <w:t>sans jeu de données stable, deux exécutions du même cas ne donnent pas le même résultat, et personne ne sait laquelle croire.</w:t>
      </w:r>
    </w:p>
    <w:p>
      <w:r>
        <w:t>Les points à couvrir :</w:t>
      </w:r>
    </w:p>
    <w:p>
      <w:pPr>
        <w:pStyle w:val="ListBullet"/>
      </w:pPr>
      <w:r>
        <w:t>Les comptes de test et leur état de départ.</w:t>
      </w:r>
    </w:p>
    <w:p>
      <w:pPr>
        <w:pStyle w:val="ListBullet"/>
      </w:pPr>
      <w:r>
        <w:t>Les données métier nécessaires : catalogue, tarifs, stocks.</w:t>
      </w:r>
    </w:p>
    <w:p>
      <w:pPr>
        <w:pStyle w:val="ListBullet"/>
      </w:pPr>
      <w:r>
        <w:t>Le moyen de paiement de test, et qui le fournit.</w:t>
      </w:r>
    </w:p>
    <w:p>
      <w:pPr>
        <w:pStyle w:val="ListBullet"/>
      </w:pPr>
      <w:r>
        <w:t>Comment on remet le jeu de données à zéro entre deux campagnes.</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Comptes de test</w:t>
            </w:r>
          </w:p>
        </w:tc>
        <w:tc>
          <w:tcPr>
            <w:tcW w:type="dxa" w:w="4873"/>
          </w:tcPr>
          <w:p>
            <w:r>
              <w:rPr>
                <w:color w:val="6C7A94"/>
                <w:sz w:val="19"/>
              </w:rPr>
              <w:t>[.]</w:t>
            </w:r>
          </w:p>
        </w:tc>
      </w:tr>
      <w:tr>
        <w:tc>
          <w:tcPr>
            <w:tcW w:type="dxa" w:w="4873"/>
          </w:tcPr>
          <w:p>
            <w:r>
              <w:rPr>
                <w:sz w:val="19"/>
              </w:rPr>
              <w:t>Données métier</w:t>
            </w:r>
          </w:p>
        </w:tc>
        <w:tc>
          <w:tcPr>
            <w:tcW w:type="dxa" w:w="4873"/>
          </w:tcPr>
          <w:p>
            <w:r>
              <w:rPr>
                <w:color w:val="6C7A94"/>
                <w:sz w:val="19"/>
              </w:rPr>
              <w:t>[.]</w:t>
            </w:r>
          </w:p>
        </w:tc>
      </w:tr>
      <w:tr>
        <w:tc>
          <w:tcPr>
            <w:tcW w:type="dxa" w:w="4873"/>
          </w:tcPr>
          <w:p>
            <w:r>
              <w:rPr>
                <w:sz w:val="19"/>
              </w:rPr>
              <w:t>Paiement de test</w:t>
            </w:r>
          </w:p>
        </w:tc>
        <w:tc>
          <w:tcPr>
            <w:tcW w:type="dxa" w:w="4873"/>
          </w:tcPr>
          <w:p>
            <w:r>
              <w:rPr>
                <w:color w:val="6C7A94"/>
                <w:sz w:val="19"/>
              </w:rPr>
              <w:t>[.]</w:t>
            </w:r>
          </w:p>
        </w:tc>
      </w:tr>
      <w:tr>
        <w:tc>
          <w:tcPr>
            <w:tcW w:type="dxa" w:w="4873"/>
          </w:tcPr>
          <w:p>
            <w:r>
              <w:rPr>
                <w:sz w:val="19"/>
              </w:rPr>
              <w:t>Remise à zéro</w:t>
            </w:r>
          </w:p>
        </w:tc>
        <w:tc>
          <w:tcPr>
            <w:tcW w:type="dxa" w:w="4873"/>
          </w:tcPr>
          <w:p>
            <w:r>
              <w:rPr>
                <w:color w:val="6C7A94"/>
                <w:sz w:val="19"/>
              </w:rPr>
              <w:t>[.]</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Trois comptes : un compte neuf, un compte avec trois commandes et 120 points de fidélité, un compte avec une commande en cours. Catalogue des six boutiques pilotes chargé. Moyen de paiement de test fourni par le prestataire de paiement. Remise à zéro par script, la veille de chaque campagne.</w:t>
            </w:r>
          </w:p>
        </w:tc>
      </w:tr>
    </w:tbl>
    <w:p/>
    <w:p>
      <w:pPr>
        <w:pStyle w:val="Heading2"/>
      </w:pPr>
      <w:r>
        <w:t>4. Rôles</w:t>
      </w:r>
    </w:p>
    <w:p>
      <w:r>
        <w:rPr>
          <w:b/>
          <w:sz w:val="19"/>
        </w:rPr>
        <w:t xml:space="preserve">Ce qu’on attend ici : </w:t>
      </w:r>
      <w:r>
        <w:rPr>
          <w:color w:val="6C7A94"/>
          <w:sz w:val="19"/>
        </w:rPr>
        <w:t>deux périmètres distincts, un seul tableur. Chacun sait ce qu’il joue et ce qu’il ne joue pas.</w:t>
      </w:r>
    </w:p>
    <w:p>
      <w:r>
        <w:t>Les points à couvrir :</w:t>
      </w:r>
    </w:p>
    <w:p>
      <w:pPr>
        <w:pStyle w:val="ListBullet"/>
      </w:pPr>
      <w:r>
        <w:t>Qui vérifie que le produit fait ce qui est écrit, et quand.</w:t>
      </w:r>
    </w:p>
    <w:p>
      <w:pPr>
        <w:pStyle w:val="ListBullet"/>
      </w:pPr>
      <w:r>
        <w:t>Qui vérifie que le produit répond au besoin métier.</w:t>
      </w:r>
    </w:p>
    <w:p>
      <w:pPr>
        <w:pStyle w:val="ListBullet"/>
      </w:pPr>
      <w:r>
        <w:t>Qui qualifie un écart et qui décide de sa criticité.</w:t>
      </w:r>
    </w:p>
    <w:p>
      <w:pPr>
        <w:pStyle w:val="ListBullet"/>
      </w:pPr>
      <w:r>
        <w:t>Qui prononce la décision de mise en production.</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Vérification technique</w:t>
            </w:r>
          </w:p>
        </w:tc>
        <w:tc>
          <w:tcPr>
            <w:tcW w:type="dxa" w:w="4873"/>
          </w:tcPr>
          <w:p>
            <w:r>
              <w:rPr>
                <w:color w:val="6C7A94"/>
                <w:sz w:val="19"/>
              </w:rPr>
              <w:t>[.]</w:t>
            </w:r>
          </w:p>
        </w:tc>
      </w:tr>
      <w:tr>
        <w:tc>
          <w:tcPr>
            <w:tcW w:type="dxa" w:w="4873"/>
          </w:tcPr>
          <w:p>
            <w:r>
              <w:rPr>
                <w:sz w:val="19"/>
              </w:rPr>
              <w:t>Vérification métier</w:t>
            </w:r>
          </w:p>
        </w:tc>
        <w:tc>
          <w:tcPr>
            <w:tcW w:type="dxa" w:w="4873"/>
          </w:tcPr>
          <w:p>
            <w:r>
              <w:rPr>
                <w:color w:val="6C7A94"/>
                <w:sz w:val="19"/>
              </w:rPr>
              <w:t>[.]</w:t>
            </w:r>
          </w:p>
        </w:tc>
      </w:tr>
      <w:tr>
        <w:tc>
          <w:tcPr>
            <w:tcW w:type="dxa" w:w="4873"/>
          </w:tcPr>
          <w:p>
            <w:r>
              <w:rPr>
                <w:sz w:val="19"/>
              </w:rPr>
              <w:t>Qualification des écarts</w:t>
            </w:r>
          </w:p>
        </w:tc>
        <w:tc>
          <w:tcPr>
            <w:tcW w:type="dxa" w:w="4873"/>
          </w:tcPr>
          <w:p>
            <w:r>
              <w:rPr>
                <w:color w:val="6C7A94"/>
                <w:sz w:val="19"/>
              </w:rPr>
              <w:t>[.]</w:t>
            </w:r>
          </w:p>
        </w:tc>
      </w:tr>
      <w:tr>
        <w:tc>
          <w:tcPr>
            <w:tcW w:type="dxa" w:w="4873"/>
          </w:tcPr>
          <w:p>
            <w:r>
              <w:rPr>
                <w:sz w:val="19"/>
              </w:rPr>
              <w:t>Décision de mise en production</w:t>
            </w:r>
          </w:p>
        </w:tc>
        <w:tc>
          <w:tcPr>
            <w:tcW w:type="dxa" w:w="4873"/>
          </w:tcPr>
          <w:p>
            <w:r>
              <w:rPr>
                <w:color w:val="6C7A94"/>
                <w:sz w:val="19"/>
              </w:rPr>
              <w:t>[nom]</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Le prestataire vérifie en continu pendant le développement. Deux référents boutique jouent les cas métier sur leurs propres données. La criticité d’un écart est proposée par le prestataire et arbitrée par le responsable du réseau, qui prononce aussi la mise en production.</w:t>
            </w:r>
          </w:p>
        </w:tc>
      </w:tr>
    </w:tbl>
    <w:p/>
    <w:p>
      <w:pPr>
        <w:pStyle w:val="Heading2"/>
      </w:pPr>
      <w:r>
        <w:t>5. Gestion des écarts</w:t>
      </w:r>
    </w:p>
    <w:p>
      <w:r>
        <w:rPr>
          <w:b/>
          <w:sz w:val="19"/>
        </w:rPr>
        <w:t xml:space="preserve">Ce qu’on attend ici : </w:t>
      </w:r>
      <w:r>
        <w:rPr>
          <w:color w:val="6C7A94"/>
          <w:sz w:val="19"/>
        </w:rPr>
        <w:t>un écart mal décrit repart en aller-retour. Cinq éléments suffisent à le rendre reproductible.</w:t>
      </w:r>
    </w:p>
    <w:p>
      <w:r>
        <w:t>Les points à couvrir :</w:t>
      </w:r>
    </w:p>
    <w:p>
      <w:pPr>
        <w:pStyle w:val="ListBullet"/>
      </w:pPr>
      <w:r>
        <w:t>L’identifiant du cas de test concerné.</w:t>
      </w:r>
    </w:p>
    <w:p>
      <w:pPr>
        <w:pStyle w:val="ListBullet"/>
      </w:pPr>
      <w:r>
        <w:t>L’appareil et la version du système.</w:t>
      </w:r>
    </w:p>
    <w:p>
      <w:pPr>
        <w:pStyle w:val="ListBullet"/>
      </w:pPr>
      <w:r>
        <w:t>La version de l’application, numéro de build compris.</w:t>
      </w:r>
    </w:p>
    <w:p>
      <w:pPr>
        <w:pStyle w:val="ListBullet"/>
      </w:pPr>
      <w:r>
        <w:t>Les étapes exactes qui le reproduisent, et la fréquence d’apparition.</w:t>
      </w:r>
    </w:p>
    <w:p>
      <w:pPr>
        <w:pStyle w:val="ListBullet"/>
      </w:pPr>
      <w:r>
        <w:t>Ce qui était attendu, ce qui s’est produit, et une capture quand c’est visuel.</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Où sont suivis les écarts</w:t>
            </w:r>
          </w:p>
        </w:tc>
        <w:tc>
          <w:tcPr>
            <w:tcW w:type="dxa" w:w="4873"/>
          </w:tcPr>
          <w:p>
            <w:r>
              <w:rPr>
                <w:color w:val="6C7A94"/>
                <w:sz w:val="19"/>
              </w:rPr>
              <w:t>[outil unique, jamais par courriel]</w:t>
            </w:r>
          </w:p>
        </w:tc>
      </w:tr>
      <w:tr>
        <w:tc>
          <w:tcPr>
            <w:tcW w:type="dxa" w:w="4873"/>
          </w:tcPr>
          <w:p>
            <w:r>
              <w:rPr>
                <w:sz w:val="19"/>
              </w:rPr>
              <w:t>Qui les qualifie</w:t>
            </w:r>
          </w:p>
        </w:tc>
        <w:tc>
          <w:tcPr>
            <w:tcW w:type="dxa" w:w="4873"/>
          </w:tcPr>
          <w:p>
            <w:r>
              <w:rPr>
                <w:color w:val="6C7A94"/>
                <w:sz w:val="19"/>
              </w:rPr>
              <w:t>[.]</w:t>
            </w:r>
          </w:p>
        </w:tc>
      </w:tr>
      <w:tr>
        <w:tc>
          <w:tcPr>
            <w:tcW w:type="dxa" w:w="4873"/>
          </w:tcPr>
          <w:p>
            <w:r>
              <w:rPr>
                <w:sz w:val="19"/>
              </w:rPr>
              <w:t>Délai de reprise attendu</w:t>
            </w:r>
          </w:p>
        </w:tc>
        <w:tc>
          <w:tcPr>
            <w:tcW w:type="dxa" w:w="4873"/>
          </w:tcPr>
          <w:p>
            <w:r>
              <w:rPr>
                <w:color w:val="6C7A94"/>
                <w:sz w:val="19"/>
              </w:rPr>
              <w:t>[bloquant : .] · [majeur : .] · [mineur : .]</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Écarts suivis dans un outil unique, jamais par courriel. Un bloquant est repris sous 24 heures ouvrées, un majeur sous 5 jours, un mineur au lot suivant. Après correction, le cas est rejoué ainsi que les cas voisins du même module.</w:t>
            </w:r>
          </w:p>
        </w:tc>
      </w:tr>
    </w:tbl>
    <w:p/>
    <w:p>
      <w:pPr>
        <w:pStyle w:val="Heading2"/>
      </w:pPr>
      <w:r>
        <w:t>6. Règle de décision</w:t>
      </w:r>
    </w:p>
    <w:p>
      <w:r>
        <w:rPr>
          <w:b/>
          <w:sz w:val="19"/>
        </w:rPr>
        <w:t xml:space="preserve">Ce qu’on attend ici : </w:t>
      </w:r>
      <w:r>
        <w:rPr>
          <w:color w:val="6C7A94"/>
          <w:sz w:val="19"/>
        </w:rPr>
        <w:t>à écrire AVANT la campagne. C’est la seule section qui évite une discussion de fin de projet.</w:t>
      </w:r>
    </w:p>
    <w:p>
      <w:r>
        <w:t>Les points à couvrir :</w:t>
      </w:r>
    </w:p>
    <w:p>
      <w:pPr>
        <w:pStyle w:val="ListBullet"/>
      </w:pPr>
      <w:r>
        <w:t>Les conditions pour livrer, énoncées en une phrase vérifiable.</w:t>
      </w:r>
    </w:p>
    <w:p>
      <w:pPr>
        <w:pStyle w:val="ListBullet"/>
      </w:pPr>
      <w:r>
        <w:t>Ce qu’on accepte de livrer avec un écart connu, et comment on le trace.</w:t>
      </w:r>
    </w:p>
    <w:p>
      <w:pPr>
        <w:pStyle w:val="ListBullet"/>
      </w:pPr>
      <w:r>
        <w:t>Qui prononce la décision, et ce qu’on joint au constat.</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Conditions pour livrer</w:t>
            </w:r>
          </w:p>
        </w:tc>
        <w:tc>
          <w:tcPr>
            <w:tcW w:type="dxa" w:w="4873"/>
          </w:tcPr>
          <w:p>
            <w:r>
              <w:rPr>
                <w:color w:val="6C7A94"/>
                <w:sz w:val="19"/>
              </w:rPr>
              <w:t>[.]</w:t>
            </w:r>
          </w:p>
        </w:tc>
      </w:tr>
      <w:tr>
        <w:tc>
          <w:tcPr>
            <w:tcW w:type="dxa" w:w="4873"/>
          </w:tcPr>
          <w:p>
            <w:r>
              <w:rPr>
                <w:sz w:val="19"/>
              </w:rPr>
              <w:t>Écarts acceptés</w:t>
            </w:r>
          </w:p>
        </w:tc>
        <w:tc>
          <w:tcPr>
            <w:tcW w:type="dxa" w:w="4873"/>
          </w:tcPr>
          <w:p>
            <w:r>
              <w:rPr>
                <w:color w:val="6C7A94"/>
                <w:sz w:val="19"/>
              </w:rPr>
              <w:t>[.]</w:t>
            </w:r>
          </w:p>
        </w:tc>
      </w:tr>
      <w:tr>
        <w:tc>
          <w:tcPr>
            <w:tcW w:type="dxa" w:w="4873"/>
          </w:tcPr>
          <w:p>
            <w:r>
              <w:rPr>
                <w:sz w:val="19"/>
              </w:rPr>
              <w:t>Qui prononce</w:t>
            </w:r>
          </w:p>
        </w:tc>
        <w:tc>
          <w:tcPr>
            <w:tcW w:type="dxa" w:w="4873"/>
          </w:tcPr>
          <w:p>
            <w:r>
              <w:rPr>
                <w:color w:val="6C7A94"/>
                <w:sz w:val="19"/>
              </w:rPr>
              <w:t>[nom]</w:t>
            </w:r>
          </w:p>
        </w:tc>
      </w:tr>
      <w:tr>
        <w:tc>
          <w:tcPr>
            <w:tcW w:type="dxa" w:w="4873"/>
          </w:tcPr>
          <w:p>
            <w:r>
              <w:rPr>
                <w:sz w:val="19"/>
              </w:rPr>
              <w:t>Pièces jointes au constat</w:t>
            </w:r>
          </w:p>
        </w:tc>
        <w:tc>
          <w:tcPr>
            <w:tcW w:type="dxa" w:w="4873"/>
          </w:tcPr>
          <w:p>
            <w:r>
              <w:rPr>
                <w:color w:val="6C7A94"/>
                <w:sz w:val="19"/>
              </w:rPr>
              <w:t>[tableau de bord, checklist de mise en production]</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Zéro cas bloquant échoué ou bloqué. Les cas majeurs restants sont tracés avec une date de correction acceptée par les deux parties. Le tableau de bord et la checklist de mise en production sont joints au constat, daté et signé par le responsable du réseau.</w:t>
            </w:r>
          </w:p>
        </w:tc>
      </w:tr>
    </w:tbl>
    <w:p/>
    <w:p>
      <w:r>
        <w:br w:type="page"/>
      </w:r>
    </w:p>
    <w:p>
      <w:pPr>
        <w:pStyle w:val="Heading1"/>
      </w:pPr>
      <w:r>
        <w:t>Annexe · dix cas rédigés (cas fictif Rondo)</w:t>
      </w:r>
    </w:p>
    <w:p>
      <w:r>
        <w:t>Cas d’école fictif. Rondo est une application inventée pour la démonstration : un réseau de 62 boulangeries indépendantes qui veut proposer la commande à l’avance et une carte de fidélité dématérialisée. Ce réseau n’existe pas, et les chiffres qui l’accompagnent illustrent une méthode de mesure, pas une référence de marché.</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Section</w:t>
            </w:r>
          </w:p>
        </w:tc>
        <w:tc>
          <w:tcPr>
            <w:tcW w:type="dxa" w:w="4873"/>
            <w:shd w:val="clear" w:color="auto" w:fill="0A1C4A"/>
          </w:tcPr>
          <w:p>
            <w:r>
              <w:rPr>
                <w:b/>
                <w:color w:val="FFFFFF"/>
                <w:sz w:val="18"/>
              </w:rPr>
              <w:t>Contenu</w:t>
            </w:r>
          </w:p>
        </w:tc>
      </w:tr>
      <w:tr>
        <w:tc>
          <w:tcPr>
            <w:tcW w:type="dxa" w:w="4873"/>
          </w:tcPr>
          <w:p>
            <w:r>
              <w:rPr>
                <w:b/>
                <w:sz w:val="19"/>
              </w:rPr>
              <w:t>CT-001 · Inscription · Bloquant</w:t>
            </w:r>
          </w:p>
        </w:tc>
        <w:tc>
          <w:tcPr>
            <w:tcW w:type="dxa" w:w="4873"/>
          </w:tcPr>
          <w:p>
            <w:r>
              <w:rPr>
                <w:sz w:val="19"/>
              </w:rPr>
              <w:t>Créer un compte avec un numéro valide</w:t>
              <w:br/>
              <w:t>Conditions : Application installée, aucun compte</w:t>
              <w:br/>
              <w:t>Étapes : 1. Saisir un numéro valide. 2. Demander le code. 3. Saisir le code reçu.</w:t>
              <w:br/>
              <w:t>Attendu : Code reçu en moins de 60 secondes, compte créé, retour sur l’accueil connecté</w:t>
            </w:r>
          </w:p>
        </w:tc>
      </w:tr>
      <w:tr>
        <w:tc>
          <w:tcPr>
            <w:tcW w:type="dxa" w:w="4873"/>
          </w:tcPr>
          <w:p>
            <w:r>
              <w:rPr>
                <w:b/>
                <w:sz w:val="19"/>
              </w:rPr>
              <w:t>CT-002 · Inscription · Majeur</w:t>
            </w:r>
          </w:p>
        </w:tc>
        <w:tc>
          <w:tcPr>
            <w:tcW w:type="dxa" w:w="4873"/>
          </w:tcPr>
          <w:p>
            <w:r>
              <w:rPr>
                <w:sz w:val="19"/>
              </w:rPr>
              <w:t>Trois codes erronés de suite</w:t>
              <w:br/>
              <w:t>Conditions : Demande de code envoyée</w:t>
              <w:br/>
              <w:t>Étapes : 1. Saisir trois codes erronés. 2. Redemander un code.</w:t>
              <w:br/>
              <w:t>Attendu : Envoi bloqué 15 minutes, message explicite avec le délai restant</w:t>
            </w:r>
          </w:p>
        </w:tc>
      </w:tr>
      <w:tr>
        <w:tc>
          <w:tcPr>
            <w:tcW w:type="dxa" w:w="4873"/>
          </w:tcPr>
          <w:p>
            <w:r>
              <w:rPr>
                <w:b/>
                <w:sz w:val="19"/>
              </w:rPr>
              <w:t>CT-003 · Catalogue · Majeur</w:t>
            </w:r>
          </w:p>
        </w:tc>
        <w:tc>
          <w:tcPr>
            <w:tcW w:type="dxa" w:w="4873"/>
          </w:tcPr>
          <w:p>
            <w:r>
              <w:rPr>
                <w:sz w:val="19"/>
              </w:rPr>
              <w:t>Afficher la boutique la plus proche</w:t>
              <w:br/>
              <w:t>Conditions : Localisation autorisée, 3 boutiques dans un rayon de 2 km</w:t>
              <w:br/>
              <w:t>Étapes : 1. Ouvrir l’application.</w:t>
              <w:br/>
              <w:t>Attendu : La boutique la plus proche est proposée en premier, avec sa distance</w:t>
            </w:r>
          </w:p>
        </w:tc>
      </w:tr>
      <w:tr>
        <w:tc>
          <w:tcPr>
            <w:tcW w:type="dxa" w:w="4873"/>
          </w:tcPr>
          <w:p>
            <w:r>
              <w:rPr>
                <w:b/>
                <w:sz w:val="19"/>
              </w:rPr>
              <w:t>CT-004 · Commande · Bloquant</w:t>
            </w:r>
          </w:p>
        </w:tc>
        <w:tc>
          <w:tcPr>
            <w:tcW w:type="dxa" w:w="4873"/>
          </w:tcPr>
          <w:p>
            <w:r>
              <w:rPr>
                <w:sz w:val="19"/>
              </w:rPr>
              <w:t>Commander sur un créneau disponible</w:t>
              <w:br/>
              <w:t>Conditions : Boutique ouverte, panier à 2 produits, créneau de 8 h 15 libre</w:t>
              <w:br/>
              <w:t>Étapes : 1. Sélectionner le créneau. 2. Valider le panier. 3. Confirmer.</w:t>
              <w:br/>
              <w:t>Attendu : Commande confirmée, numéro de retrait affiché, créneau décompté côté boutique</w:t>
            </w:r>
          </w:p>
        </w:tc>
      </w:tr>
      <w:tr>
        <w:tc>
          <w:tcPr>
            <w:tcW w:type="dxa" w:w="4873"/>
          </w:tcPr>
          <w:p>
            <w:r>
              <w:rPr>
                <w:b/>
                <w:sz w:val="19"/>
              </w:rPr>
              <w:t>CT-005 · Commande · Mineur</w:t>
            </w:r>
          </w:p>
        </w:tc>
        <w:tc>
          <w:tcPr>
            <w:tcW w:type="dxa" w:w="4873"/>
          </w:tcPr>
          <w:p>
            <w:r>
              <w:rPr>
                <w:sz w:val="19"/>
              </w:rPr>
              <w:t>Panier vide</w:t>
              <w:br/>
              <w:t>Conditions : Aucun produit sélectionné</w:t>
              <w:br/>
              <w:t>Étapes : 1. Ouvrir le panier. 2. Tenter de valider.</w:t>
              <w:br/>
              <w:t>Attendu : Le bouton de validation est inactif, un message indique quoi faire</w:t>
            </w:r>
          </w:p>
        </w:tc>
      </w:tr>
      <w:tr>
        <w:tc>
          <w:tcPr>
            <w:tcW w:type="dxa" w:w="4873"/>
          </w:tcPr>
          <w:p>
            <w:r>
              <w:rPr>
                <w:b/>
                <w:sz w:val="19"/>
              </w:rPr>
              <w:t>CT-006 · Commande · Majeur</w:t>
            </w:r>
          </w:p>
        </w:tc>
        <w:tc>
          <w:tcPr>
            <w:tcW w:type="dxa" w:w="4873"/>
          </w:tcPr>
          <w:p>
            <w:r>
              <w:rPr>
                <w:sz w:val="19"/>
              </w:rPr>
              <w:t>Produit épuisé pendant la saisie</w:t>
              <w:br/>
              <w:t>Conditions : Panier à 2 produits, un produit marqué épuisé par la boutique</w:t>
              <w:br/>
              <w:t>Étapes : 1. Valider le panier.</w:t>
              <w:br/>
              <w:t>Attendu : Le produit est signalé et retiré, le montant est recalculé avant paiement</w:t>
            </w:r>
          </w:p>
        </w:tc>
      </w:tr>
      <w:tr>
        <w:tc>
          <w:tcPr>
            <w:tcW w:type="dxa" w:w="4873"/>
          </w:tcPr>
          <w:p>
            <w:r>
              <w:rPr>
                <w:b/>
                <w:sz w:val="19"/>
              </w:rPr>
              <w:t>CT-007 · Commande · Bloquant</w:t>
            </w:r>
          </w:p>
        </w:tc>
        <w:tc>
          <w:tcPr>
            <w:tcW w:type="dxa" w:w="4873"/>
          </w:tcPr>
          <w:p>
            <w:r>
              <w:rPr>
                <w:sz w:val="19"/>
              </w:rPr>
              <w:t>Créneau rempli pendant la saisie</w:t>
              <w:br/>
              <w:t>Conditions : Panier à 2 produits, créneau de 8 h 15 rempli par un autre client</w:t>
              <w:br/>
              <w:t>Étapes : 1. Valider le panier. 2. Confirmer.</w:t>
              <w:br/>
              <w:t>Attendu : Message explicite, les deux créneaux suivants proposés, panier intact</w:t>
            </w:r>
          </w:p>
        </w:tc>
      </w:tr>
      <w:tr>
        <w:tc>
          <w:tcPr>
            <w:tcW w:type="dxa" w:w="4873"/>
          </w:tcPr>
          <w:p>
            <w:r>
              <w:rPr>
                <w:b/>
                <w:sz w:val="19"/>
              </w:rPr>
              <w:t>CT-008 · Commande · Majeur</w:t>
            </w:r>
          </w:p>
        </w:tc>
        <w:tc>
          <w:tcPr>
            <w:tcW w:type="dxa" w:w="4873"/>
          </w:tcPr>
          <w:p>
            <w:r>
              <w:rPr>
                <w:sz w:val="19"/>
              </w:rPr>
              <w:t>Annuler plus de 30 minutes avant le retrait</w:t>
              <w:br/>
              <w:t>Conditions : Commande payée, créneau dans 2 heures</w:t>
              <w:br/>
              <w:t>Étapes : 1. Ouvrir la commande. 2. Annuler. 3. Confirmer.</w:t>
              <w:br/>
              <w:t>Attendu : Annulation acceptée, remboursement déclenché, créneau libéré</w:t>
            </w:r>
          </w:p>
        </w:tc>
      </w:tr>
      <w:tr>
        <w:tc>
          <w:tcPr>
            <w:tcW w:type="dxa" w:w="4873"/>
          </w:tcPr>
          <w:p>
            <w:r>
              <w:rPr>
                <w:b/>
                <w:sz w:val="19"/>
              </w:rPr>
              <w:t>CT-009 · Commande · Majeur</w:t>
            </w:r>
          </w:p>
        </w:tc>
        <w:tc>
          <w:tcPr>
            <w:tcW w:type="dxa" w:w="4873"/>
          </w:tcPr>
          <w:p>
            <w:r>
              <w:rPr>
                <w:sz w:val="19"/>
              </w:rPr>
              <w:t>Annuler moins de 30 minutes avant le retrait</w:t>
              <w:br/>
              <w:t>Conditions : Commande payée, créneau dans 20 minutes</w:t>
              <w:br/>
              <w:t>Étapes : 1. Ouvrir la commande. 2. Tenter d’annuler.</w:t>
              <w:br/>
              <w:t>Attendu : Annulation refusée, message explicite, téléphone de la boutique affiché</w:t>
            </w:r>
          </w:p>
        </w:tc>
      </w:tr>
      <w:tr>
        <w:tc>
          <w:tcPr>
            <w:tcW w:type="dxa" w:w="4873"/>
          </w:tcPr>
          <w:p>
            <w:r>
              <w:rPr>
                <w:b/>
                <w:sz w:val="19"/>
              </w:rPr>
              <w:t>CT-010 · Paiement · Bloquant</w:t>
            </w:r>
          </w:p>
        </w:tc>
        <w:tc>
          <w:tcPr>
            <w:tcW w:type="dxa" w:w="4873"/>
          </w:tcPr>
          <w:p>
            <w:r>
              <w:rPr>
                <w:sz w:val="19"/>
              </w:rPr>
              <w:t>Payer avec une carte valide</w:t>
              <w:br/>
              <w:t>Conditions : Panier validé, moyen de paiement enregistré</w:t>
              <w:br/>
              <w:t>Étapes : 1. Confirmer le paiement.</w:t>
              <w:br/>
              <w:t>Attendu : Débit unique, confirmation affichée, numéro de retrait généré</w:t>
            </w:r>
          </w:p>
        </w:tc>
      </w:tr>
    </w:tbl>
    <w:sectPr w:rsidR="00FC693F" w:rsidRPr="0006063C" w:rsidSect="00034616">
      <w:footerReference w:type="default" r:id="rId9"/>
      <w:pgSz w:w="12240" w:h="15840"/>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A94"/>
        <w:sz w:val="16"/>
      </w:rPr>
      <w:t>agenceapplicationmobile.fr · modèle libre d’usage, y compris pour un projet commercial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1E2A4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0A1C4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54CE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0A1C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